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0AA5" w14:textId="77777777" w:rsidR="00D11B56" w:rsidRDefault="00000000">
      <w:pPr>
        <w:spacing w:after="513" w:line="259" w:lineRule="auto"/>
        <w:ind w:left="0" w:right="37" w:firstLine="0"/>
        <w:jc w:val="right"/>
      </w:pPr>
      <w:r>
        <w:rPr>
          <w:b/>
          <w:sz w:val="36"/>
        </w:rPr>
        <w:t>Stage 3 – Board Governance Compliance Report</w:t>
      </w:r>
    </w:p>
    <w:p w14:paraId="694A30E8" w14:textId="77777777" w:rsidR="00D11B56" w:rsidRDefault="00000000">
      <w:pPr>
        <w:pStyle w:val="Heading1"/>
        <w:ind w:left="-5"/>
      </w:pPr>
      <w:r>
        <w:t>Financial Summary</w:t>
      </w:r>
    </w:p>
    <w:p w14:paraId="44005A3E" w14:textId="57425FAC" w:rsidR="004E1E1F" w:rsidRDefault="004E1E1F">
      <w:pPr>
        <w:spacing w:after="519"/>
        <w:ind w:left="-5"/>
      </w:pPr>
      <w:r w:rsidRPr="004E1E1F">
        <w:t>Total Deviation Penalty (Revised Peak Rates): ₹49,575.29</w:t>
      </w:r>
      <w:r w:rsidRPr="004E1E1F">
        <w:br/>
        <w:t>Peak-Hour Penalty Contribution: ₹13,091.67</w:t>
      </w:r>
      <w:r w:rsidRPr="004E1E1F">
        <w:br/>
        <w:t>Off-Peak Penalty Contribution: ₹36,483.63</w:t>
      </w:r>
    </w:p>
    <w:p w14:paraId="0A57518F" w14:textId="05BDACB2" w:rsidR="004E1E1F" w:rsidRDefault="004E1E1F" w:rsidP="004E1E1F">
      <w:pPr>
        <w:spacing w:after="519"/>
        <w:ind w:left="-5"/>
      </w:pPr>
      <w:r w:rsidRPr="004E1E1F">
        <w:drawing>
          <wp:inline distT="0" distB="0" distL="0" distR="0" wp14:anchorId="027CD72C" wp14:editId="06497EC2">
            <wp:extent cx="2686050" cy="2014538"/>
            <wp:effectExtent l="0" t="0" r="0" b="5080"/>
            <wp:docPr id="104535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711" cy="201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CA06" w14:textId="39C5FAA8" w:rsidR="004E1E1F" w:rsidRPr="004E1E1F" w:rsidRDefault="004E1E1F" w:rsidP="004E1E1F">
      <w:pPr>
        <w:spacing w:after="519"/>
        <w:ind w:left="-5"/>
      </w:pPr>
      <w:r w:rsidRPr="004E1E1F">
        <w:t>The total financial exposure remains stable under the revised penalty regime.</w:t>
      </w:r>
      <w:r w:rsidRPr="004E1E1F">
        <w:br/>
        <w:t>Peak-hour exposure accounts for approximately 26% of total deviation cost, indicating controlled sensitivity under elevated penalty conditions.</w:t>
      </w:r>
    </w:p>
    <w:p w14:paraId="512A8266" w14:textId="77777777" w:rsidR="004E1E1F" w:rsidRDefault="004E1E1F">
      <w:pPr>
        <w:spacing w:after="519"/>
        <w:ind w:left="-5"/>
      </w:pPr>
    </w:p>
    <w:p w14:paraId="1FB6FFFF" w14:textId="77777777" w:rsidR="00D11B56" w:rsidRDefault="00000000">
      <w:pPr>
        <w:pStyle w:val="Heading1"/>
        <w:ind w:left="-5"/>
      </w:pPr>
      <w:r>
        <w:t>Governance Compliance</w:t>
      </w:r>
    </w:p>
    <w:p w14:paraId="4A87A23E" w14:textId="77777777" w:rsidR="00D11B56" w:rsidRDefault="00000000">
      <w:pPr>
        <w:ind w:left="-5"/>
      </w:pPr>
      <w:r>
        <w:t>Peak underestimation &gt;5% intervals: 0 (within limit of 3)</w:t>
      </w:r>
    </w:p>
    <w:p w14:paraId="5067FEBD" w14:textId="77777777" w:rsidR="00D11B56" w:rsidRDefault="00000000">
      <w:pPr>
        <w:spacing w:after="551"/>
        <w:ind w:left="-5" w:right="4307"/>
      </w:pPr>
      <w:r>
        <w:t>Forecast Bias: 0.10% (within -2% to +3%) Average Uplift: 0% (within 3% cap)</w:t>
      </w:r>
    </w:p>
    <w:p w14:paraId="13062697" w14:textId="77777777" w:rsidR="004E1E1F" w:rsidRPr="004E1E1F" w:rsidRDefault="004E1E1F" w:rsidP="004E1E1F">
      <w:pPr>
        <w:spacing w:after="551"/>
        <w:ind w:left="-5" w:right="4307"/>
      </w:pPr>
      <w:r w:rsidRPr="004E1E1F">
        <w:rPr>
          <w:b/>
          <w:bCs/>
        </w:rPr>
        <w:t>Peak Reliability Constraint:</w:t>
      </w:r>
      <w:r w:rsidRPr="004E1E1F">
        <w:br/>
        <w:t>Peak underestimation exceeding 5% of actual load occurred in 0 intervals (Maximum allowed: 3).</w:t>
      </w:r>
      <w:r w:rsidRPr="004E1E1F">
        <w:br/>
        <w:t>This confirms high peak-hour stability and operational reliability.</w:t>
      </w:r>
    </w:p>
    <w:p w14:paraId="6E0332E3" w14:textId="77777777" w:rsidR="004E1E1F" w:rsidRPr="004E1E1F" w:rsidRDefault="004E1E1F" w:rsidP="004E1E1F">
      <w:pPr>
        <w:spacing w:after="551"/>
        <w:ind w:left="-5" w:right="4307"/>
      </w:pPr>
      <w:r w:rsidRPr="004E1E1F">
        <w:rPr>
          <w:b/>
          <w:bCs/>
        </w:rPr>
        <w:t>Forecast Bias Bound:</w:t>
      </w:r>
      <w:r w:rsidRPr="004E1E1F">
        <w:br/>
        <w:t>Overall forecast bias: +0.10%</w:t>
      </w:r>
      <w:r w:rsidRPr="004E1E1F">
        <w:br/>
        <w:t>Within mandated range [-2%, +3%].</w:t>
      </w:r>
      <w:r w:rsidRPr="004E1E1F">
        <w:br/>
      </w:r>
      <w:r w:rsidRPr="004E1E1F">
        <w:lastRenderedPageBreak/>
        <w:t>The model remains nearly unbiased while preserving regulatory safety margins.</w:t>
      </w:r>
    </w:p>
    <w:p w14:paraId="0BC42BF9" w14:textId="77777777" w:rsidR="004E1E1F" w:rsidRPr="004E1E1F" w:rsidRDefault="004E1E1F" w:rsidP="004E1E1F">
      <w:pPr>
        <w:spacing w:after="551"/>
        <w:ind w:left="-5" w:right="4307"/>
      </w:pPr>
      <w:r w:rsidRPr="004E1E1F">
        <w:rPr>
          <w:b/>
          <w:bCs/>
        </w:rPr>
        <w:t>Buffering Constraint:</w:t>
      </w:r>
      <w:r w:rsidRPr="004E1E1F">
        <w:br/>
        <w:t>Average forecast uplift relative to unbiased baseline: 0%</w:t>
      </w:r>
      <w:r w:rsidRPr="004E1E1F">
        <w:br/>
        <w:t>Below the 3% cap.</w:t>
      </w:r>
      <w:r w:rsidRPr="004E1E1F">
        <w:br/>
        <w:t>No artificial inflation or over-procurement bias introduced.</w:t>
      </w:r>
    </w:p>
    <w:p w14:paraId="1ACC08D6" w14:textId="77777777" w:rsidR="004E1E1F" w:rsidRDefault="004E1E1F">
      <w:pPr>
        <w:spacing w:after="551"/>
        <w:ind w:left="-5" w:right="4307"/>
      </w:pPr>
    </w:p>
    <w:p w14:paraId="5D3D0028" w14:textId="3BF5A167" w:rsidR="004E1E1F" w:rsidRPr="004E1E1F" w:rsidRDefault="004E1E1F" w:rsidP="004E1E1F">
      <w:pPr>
        <w:spacing w:after="551"/>
        <w:ind w:left="-5" w:right="4307"/>
      </w:pPr>
      <w:r w:rsidRPr="004E1E1F">
        <w:drawing>
          <wp:inline distT="0" distB="0" distL="0" distR="0" wp14:anchorId="53902DE1" wp14:editId="56BA2B4F">
            <wp:extent cx="4057650" cy="2028825"/>
            <wp:effectExtent l="0" t="0" r="0" b="9525"/>
            <wp:docPr id="1815153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A954" w14:textId="77777777" w:rsidR="004E1E1F" w:rsidRDefault="004E1E1F">
      <w:pPr>
        <w:spacing w:after="551"/>
        <w:ind w:left="-5" w:right="4307"/>
      </w:pPr>
    </w:p>
    <w:p w14:paraId="40A466D0" w14:textId="77777777" w:rsidR="00D11B56" w:rsidRDefault="00000000">
      <w:pPr>
        <w:pStyle w:val="Heading1"/>
        <w:ind w:left="-5"/>
      </w:pPr>
      <w:r>
        <w:t>Risk Transparency</w:t>
      </w:r>
    </w:p>
    <w:p w14:paraId="7E08FE58" w14:textId="77777777" w:rsidR="00D11B56" w:rsidRDefault="00000000">
      <w:pPr>
        <w:ind w:left="-5"/>
      </w:pPr>
      <w:r>
        <w:t>95th Percentile Absolute Deviation: 19.59</w:t>
      </w:r>
    </w:p>
    <w:p w14:paraId="3A126C6E" w14:textId="77777777" w:rsidR="00D11B56" w:rsidRDefault="00000000">
      <w:pPr>
        <w:spacing w:after="550"/>
        <w:ind w:left="-5"/>
      </w:pPr>
      <w:r>
        <w:t>Worst 5 deviation intervals documented separately.</w:t>
      </w:r>
    </w:p>
    <w:p w14:paraId="2AFBF136" w14:textId="77777777" w:rsidR="004E1E1F" w:rsidRPr="004E1E1F" w:rsidRDefault="004E1E1F" w:rsidP="004E1E1F">
      <w:pPr>
        <w:spacing w:after="550"/>
        <w:ind w:left="-5"/>
      </w:pPr>
      <w:r w:rsidRPr="004E1E1F">
        <w:t>95th Percentile Absolute Deviation: 19.59 kW</w:t>
      </w:r>
    </w:p>
    <w:p w14:paraId="1E616761" w14:textId="77777777" w:rsidR="004E1E1F" w:rsidRPr="004E1E1F" w:rsidRDefault="004E1E1F" w:rsidP="004E1E1F">
      <w:pPr>
        <w:spacing w:after="550"/>
        <w:ind w:left="-5"/>
      </w:pPr>
      <w:r w:rsidRPr="004E1E1F">
        <w:t>Worst 5 deviation intervals documented separately for full transparency.</w:t>
      </w:r>
    </w:p>
    <w:p w14:paraId="19C7C803" w14:textId="77777777" w:rsidR="004E1E1F" w:rsidRPr="004E1E1F" w:rsidRDefault="004E1E1F" w:rsidP="004E1E1F">
      <w:pPr>
        <w:spacing w:after="550"/>
        <w:ind w:left="-5"/>
      </w:pPr>
      <w:r w:rsidRPr="004E1E1F">
        <w:t>Deviation distribution analysis indicates controlled tail risk, with no clustering of extreme deviations during peak hours.</w:t>
      </w:r>
    </w:p>
    <w:p w14:paraId="2050D16A" w14:textId="77777777" w:rsidR="004E1E1F" w:rsidRPr="004E1E1F" w:rsidRDefault="004E1E1F" w:rsidP="004E1E1F">
      <w:pPr>
        <w:spacing w:after="550"/>
        <w:ind w:left="-5"/>
      </w:pPr>
      <w:r w:rsidRPr="004E1E1F">
        <w:lastRenderedPageBreak/>
        <w:t>Peak-hour volatility impact remains proportionate and financially contained under revised penalty escalation.</w:t>
      </w:r>
    </w:p>
    <w:p w14:paraId="0E13C3F8" w14:textId="77777777" w:rsidR="004E1E1F" w:rsidRDefault="004E1E1F">
      <w:pPr>
        <w:spacing w:after="550"/>
        <w:ind w:left="-5"/>
      </w:pPr>
    </w:p>
    <w:p w14:paraId="71185E0E" w14:textId="0B7ACF9B" w:rsidR="004E1E1F" w:rsidRPr="004E1E1F" w:rsidRDefault="004E1E1F" w:rsidP="004E1E1F">
      <w:pPr>
        <w:spacing w:after="550"/>
        <w:ind w:left="-5"/>
      </w:pPr>
      <w:r w:rsidRPr="004E1E1F">
        <w:drawing>
          <wp:inline distT="0" distB="0" distL="0" distR="0" wp14:anchorId="000F96C9" wp14:editId="180E525D">
            <wp:extent cx="3225800" cy="2419350"/>
            <wp:effectExtent l="0" t="0" r="0" b="0"/>
            <wp:docPr id="124381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532" cy="242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B988" w14:textId="77777777" w:rsidR="004E1E1F" w:rsidRDefault="004E1E1F">
      <w:pPr>
        <w:spacing w:after="550"/>
        <w:ind w:left="-5"/>
      </w:pPr>
    </w:p>
    <w:p w14:paraId="6FD6988A" w14:textId="77777777" w:rsidR="00D11B56" w:rsidRDefault="00000000">
      <w:pPr>
        <w:pStyle w:val="Heading1"/>
        <w:ind w:left="-5"/>
      </w:pPr>
      <w:r>
        <w:t>Executive Justification</w:t>
      </w:r>
    </w:p>
    <w:p w14:paraId="16A6EB82" w14:textId="77777777" w:rsidR="00D11B56" w:rsidRDefault="00000000">
      <w:pPr>
        <w:ind w:left="-5"/>
      </w:pPr>
      <w:r>
        <w:t>The model demonstrates financial prudence and regulatory compliance without introducing artificial bias or excessive buffering. Stability under peak-hour volatility confirms structural robustness and disciplined governance alignment.</w:t>
      </w:r>
    </w:p>
    <w:p w14:paraId="24DFA961" w14:textId="77777777" w:rsidR="004E1E1F" w:rsidRPr="004E1E1F" w:rsidRDefault="004E1E1F" w:rsidP="004E1E1F">
      <w:pPr>
        <w:ind w:left="-5"/>
      </w:pPr>
      <w:r w:rsidRPr="004E1E1F">
        <w:t>The Stage 3 solution reflects disciplined governance optimization rather than reactive over-adjustment.</w:t>
      </w:r>
    </w:p>
    <w:p w14:paraId="3371AB02" w14:textId="77777777" w:rsidR="004E1E1F" w:rsidRPr="004E1E1F" w:rsidRDefault="004E1E1F" w:rsidP="004E1E1F">
      <w:pPr>
        <w:ind w:left="-5"/>
      </w:pPr>
      <w:r w:rsidRPr="004E1E1F">
        <w:t>Key principles maintained:</w:t>
      </w:r>
    </w:p>
    <w:p w14:paraId="2ABA2B1E" w14:textId="77777777" w:rsidR="004E1E1F" w:rsidRPr="004E1E1F" w:rsidRDefault="004E1E1F" w:rsidP="004E1E1F">
      <w:pPr>
        <w:ind w:left="-5"/>
      </w:pPr>
      <w:r w:rsidRPr="004E1E1F">
        <w:t>• Financial prudence – No unnecessary buffering introduced</w:t>
      </w:r>
      <w:r w:rsidRPr="004E1E1F">
        <w:br/>
        <w:t>• Regulatory compliance – All constraints satisfied</w:t>
      </w:r>
      <w:r w:rsidRPr="004E1E1F">
        <w:br/>
        <w:t>• Grid stability – Zero peak reliability violations</w:t>
      </w:r>
      <w:r w:rsidRPr="004E1E1F">
        <w:br/>
        <w:t>• Transparent trade-off articulation – Quantified volatility impact and bias discipline</w:t>
      </w:r>
    </w:p>
    <w:p w14:paraId="4314EB00" w14:textId="77777777" w:rsidR="004E1E1F" w:rsidRPr="004E1E1F" w:rsidRDefault="004E1E1F" w:rsidP="004E1E1F">
      <w:pPr>
        <w:ind w:left="-5"/>
      </w:pPr>
      <w:r w:rsidRPr="004E1E1F">
        <w:t xml:space="preserve">The baseline model demonstrates structural robustness under regime shift conditions without compromising fiscal </w:t>
      </w:r>
      <w:proofErr w:type="spellStart"/>
      <w:r w:rsidRPr="004E1E1F">
        <w:t>disciplin</w:t>
      </w:r>
      <w:proofErr w:type="spellEnd"/>
    </w:p>
    <w:p w14:paraId="6C5A21EE" w14:textId="77777777" w:rsidR="004E1E1F" w:rsidRDefault="004E1E1F">
      <w:pPr>
        <w:ind w:left="-5"/>
      </w:pPr>
    </w:p>
    <w:sectPr w:rsidR="004E1E1F">
      <w:pgSz w:w="12240" w:h="15840"/>
      <w:pgMar w:top="1440" w:right="193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B56"/>
    <w:rsid w:val="004E1E1F"/>
    <w:rsid w:val="00936AEC"/>
    <w:rsid w:val="00D1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D015F"/>
  <w15:docId w15:val="{B104775C-E7BF-4A1B-8759-E31103E8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Yogisha Rani</cp:lastModifiedBy>
  <cp:revision>2</cp:revision>
  <dcterms:created xsi:type="dcterms:W3CDTF">2026-02-28T21:10:00Z</dcterms:created>
  <dcterms:modified xsi:type="dcterms:W3CDTF">2026-02-28T21:10:00Z</dcterms:modified>
</cp:coreProperties>
</file>