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24_1" w:id="100001"/>
      <w:bookmarkStart w:name="_Toc129769378_1" w:id="100002"/>
      <w:bookmarkStart w:name="_Toc133914808_1" w:id="100003"/>
      <w:bookmarkStart w:name="_Toc134495602_1" w:id="100004"/>
      <w:bookmarkStart w:name="_Toc147896351_1" w:id="100005"/>
      <w:r>
        <w:t>ADDRESSBLOCK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"ADDRESSBLOCK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 xml:space="preserve">ADDRESSBLOCK 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</w:t>
      </w:r>
      <w:r>
        <w:t>: Inserts a mail merge address block.</w:t>
      </w:r>
    </w:p>
    <w:p w:rsidRDefault="00476CD1" w:rsidP="00476CD1" w:rsidR="00476CD1">
      <w:r>
        <w:t>Field Value</w:t>
      </w:r>
      <w:r>
        <w:t>: The address block.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whether to include the name of the country/region: a value of 0 causes the country/region to be omitted; a value of 1 causes it to be included, and a value of 2 causes country/region to be included, but only if it is different from the value for </w:t>
            </w:r>
            <w:r>
              <w:t>\e</w:t>
            </w:r>
            <w:r>
              <w:t>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\d</w:t>
            </w:r>
          </w:p>
        </w:tc>
        <w:tc>
          <w:tcPr>
            <w:tcW w:type="dxa" w:w="7103"/>
          </w:tcPr>
          <w:p w:rsidRDefault="00476CD1" w:rsidP="002E5918" w:rsidR="00476CD1">
            <w:r>
              <w:t>Specifies that the address is to be formatted according to the country/region of the recipient. If this switch is not used, then addresses are formatted according to some implementation-specific preference.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\e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which country/region to exclude from the address block. [</w:t>
            </w:r>
            <w:r>
              <w:t>Note</w:t>
            </w:r>
            <w:r>
              <w:t xml:space="preserve">: This is useful when your mailing contains a mix of domestic and international recipients. </w:t>
            </w:r>
            <w:r>
              <w:t>end note</w:t>
            </w:r>
            <w:r>
              <w:t xml:space="preserve">] To exclude the names of more than one country or region, use a </w:t>
            </w:r>
            <w:r>
              <w:t>\e</w:t>
            </w:r>
            <w:r>
              <w:t> switch for each one.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name and address </w:t>
            </w:r>
            <w:hyperlink r:id="rId8">
              <w:r>
                <w:rPr>
                  <w:rStyle w:val="Hyperlink"/>
                </w:rPr>
                <w:t>format</w:t>
              </w:r>
            </w:hyperlink>
            <w:r>
              <w:t xml:space="preserve"> by providing a template of merge-field placeholders.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language ID used to </w:t>
            </w:r>
            <w:hyperlink r:id="rId8">
              <w:r>
                <w:rPr>
                  <w:rStyle w:val="Hyperlink"/>
                </w:rPr>
                <w:t>format</w:t>
              </w:r>
            </w:hyperlink>
            <w:r>
              <w:t xml:space="preserve"> the address. The default is to use the language ID of the first character of the document.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