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037_1" w:id="100001"/>
      <w:bookmarkStart w:name="_Toc129769379_1" w:id="100002"/>
      <w:bookmarkStart w:name="_Toc133914809_1" w:id="100003"/>
      <w:bookmarkStart w:name="_Toc134495603_1" w:id="100004"/>
      <w:bookmarkStart w:name="_Toc147896352_1" w:id="100005"/>
      <w:r>
        <w:t>ADVANCE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"ADVANCE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 xml:space="preserve">ADVANCE 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Moves the starting point of text that follows the field to the right or left, up or down, or to a specific horizontal or vertical position. The switches used by this field can cause text to overlap. Text will not display if it is moved to the previous or </w:t>
      </w:r>
      <w:hyperlink r:id="rId8">
        <w:r>
          <w:rPr>
            <w:rStyle w:val="Hyperlink"/>
          </w:rPr>
          <w:t>next</w:t>
        </w:r>
      </w:hyperlink>
      <w:r>
        <w:t xml:space="preserve"> page, or beyond the print margins of the current page.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\d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Moves the text that follows the field down by the integral number of points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Moves the text that follows the field left by the integral number of points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\r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Moves the text that follows the field right by the integral number of points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\u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Moves the text that follows the field up by the integral number of points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\x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Moves the text that follows the field the integral number of points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from the left edge of the column, 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 xml:space="preserve">, or text box. 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\y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Moves the text that follows the field the integral number of points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. This shift is the vertical </w:t>
            </w:r>
            <w:hyperlink r:id="rId10">
              <w:r>
                <w:rPr>
                  <w:rStyle w:val="Hyperlink"/>
                </w:rPr>
                <w:t>position</w:t>
              </w:r>
            </w:hyperlink>
            <w:r>
              <w:t xml:space="preserve"> relative to the page. The entire line of text that contains the field is moved. This switch is ignored if it specifies a location outside the page margins or if the switch is used inside any of the following: </w:t>
            </w:r>
            <w:hyperlink r:id="rId11">
              <w:r>
                <w:rPr>
                  <w:rStyle w:val="Hyperlink"/>
                </w:rPr>
                <w:t>table</w:t>
              </w:r>
            </w:hyperlink>
            <w:r>
              <w:t xml:space="preserve">, text box,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, </w:t>
            </w:r>
            <w:hyperlink r:id="rId13">
              <w:r>
                <w:rPr>
                  <w:rStyle w:val="Hyperlink"/>
                </w:rPr>
                <w:t>endnote</w:t>
              </w:r>
            </w:hyperlink>
            <w:r>
              <w:t>, annotation, header, or footer.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When the following fields are updated:</w:t>
      </w:r>
    </w:p>
    <w:p w:rsidRDefault="00476CD1" w:rsidP="00476CD1" w:rsidR="00476CD1">
      <w:pPr>
        <w:pStyle w:val="c"/>
      </w:pPr>
      <w:r>
        <w:t>XX ADVANCE \u 6 XX ADVANCE \d 12 XX ADVANCE \l 20 + ADVANCE \x 150 ZZ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smartTag w:element="GivenName" w:uri="urn:schemas:contacts">
        <w:r>
          <w:t>XX</w:t>
        </w:r>
      </w:smartTag>
      <w:r>
        <w:fldChar w:fldCharType="begin"/>
      </w:r>
      <w:r>
        <w:instrText xml:space="preserve"> ADVANCE \u 6 </w:instrText>
      </w:r>
      <w:r>
        <w:fldChar w:fldCharType="end"/>
      </w:r>
      <w:smartTag w:element="nameSuffix" w:uri="urn:schemas:contacts">
        <w:r>
          <w:t>XX</w:t>
        </w:r>
      </w:smartTag>
      <w:r>
        <w:fldChar w:fldCharType="begin"/>
      </w:r>
      <w:r>
        <w:instrText xml:space="preserve"> ADVANCE \d 12 </w:instrText>
      </w:r>
      <w:r>
        <w:fldChar w:fldCharType="end"/>
      </w:r>
      <w:smartTag w:element="GivenName" w:uri="urn:schemas:contacts">
        <w:r>
          <w:t>XX</w:t>
        </w:r>
      </w:smartTag>
      <w:r>
        <w:fldChar w:fldCharType="begin"/>
      </w:r>
      <w:r>
        <w:instrText xml:space="preserve"> ADVANCE \r 12 </w:instrText>
      </w:r>
      <w:r>
        <w:fldChar w:fldCharType="end"/>
      </w:r>
      <w:smartTag w:element="nameSuffix" w:uri="urn:schemas:contacts">
        <w:r>
          <w:t>X</w:t>
        </w:r>
      </w:smartTag>
      <w:r>
        <w:fldChar w:fldCharType="begin"/>
      </w:r>
      <w:r>
        <w:instrText xml:space="preserve"> ADVANCE \l 20 </w:instrText>
      </w:r>
      <w:r>
        <w:fldChar w:fldCharType="end"/>
      </w:r>
      <w:r>
        <w:t>+</w:t>
      </w:r>
      <w:r>
        <w:fldChar w:fldCharType="begin"/>
      </w:r>
      <w:r>
        <w:instrText xml:space="preserve"> ADVANCE \x 150 </w:instrText>
      </w:r>
      <w:r>
        <w:fldChar w:fldCharType="end"/>
      </w:r>
      <w:r>
        <w:t>ZZ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ext.docx" TargetMode="External"/><Relationship Id="rId9" Type="http://schemas.openxmlformats.org/officeDocument/2006/relationships/hyperlink" Target="frame.docx" TargetMode="External"/><Relationship Id="rId10" Type="http://schemas.openxmlformats.org/officeDocument/2006/relationships/hyperlink" Target="position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footnote.docx" TargetMode="External"/><Relationship Id="rId13" Type="http://schemas.openxmlformats.org/officeDocument/2006/relationships/hyperlink" Target="endnot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