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Ref126066045_1" w:id="100001"/>
      <w:bookmarkStart w:name="_Toc129769397_1" w:id="100002"/>
      <w:bookmarkStart w:name="_Toc133914827_1" w:id="100003"/>
      <w:bookmarkStart w:name="_Toc134495621_1" w:id="100004"/>
      <w:bookmarkStart w:name="_Toc147896372_1" w:id="100005"/>
      <w:r>
        <w:t>EQ</w:t>
      </w:r>
      <w:bookmarkEnd w:id="100001"/>
      <w:bookmarkEnd w:id="100002"/>
      <w:bookmarkEnd w:id="100003"/>
      <w:bookmarkEnd w:id="100004"/>
      <w:bookmarkEnd w:id="100005"/>
      <w:r>
        <w:fldChar w:fldCharType="begin"/>
      </w:r>
      <w:r>
        <w:instrText xml:space="preserve"> XE "</w:instrText>
      </w:r>
      <w:smartTag w:element="PersonName" w:uri="urn:schemas-microsoft-com:office:smarttags">
        <w:smartTag w:element="GivenName" w:uri="urn:schemas:contacts">
          <w:r>
            <w:instrText>EQ</w:instrText>
          </w:r>
        </w:smartTag>
        <w:r>
          <w:instrText xml:space="preserve"> </w:instrText>
        </w:r>
        <w:smartTag w:element="Sn" w:uri="urn:schemas:contacts">
          <w:r>
            <w:instrText>WordprocessingML</w:instrText>
          </w:r>
        </w:smartTag>
      </w:smartTag>
      <w:r>
        <w:instrText xml:space="preserve"> field” \b </w:instrText>
      </w:r>
      <w:r>
        <w:fldChar w:fldCharType="end"/>
      </w:r>
    </w:p>
    <w:p w:rsidRDefault="00476CD1" w:rsidP="00476CD1" w:rsidR="00476CD1">
      <w:r>
        <w:t>Syntax</w:t>
      </w:r>
      <w:r>
        <w:t>:</w:t>
      </w:r>
    </w:p>
    <w:p w:rsidRDefault="00476CD1" w:rsidP="00476CD1" w:rsidR="00476CD1">
      <w:r>
        <w:t>EQ</w:t>
      </w:r>
      <w:r>
        <w:t xml:space="preserve"> eq-primary-switch  </w:t>
      </w:r>
      <w:r>
        <w:t>[</w:t>
      </w:r>
      <w:r>
        <w:t xml:space="preserve"> switches </w:t>
      </w:r>
      <w:r>
        <w:t>]</w:t>
      </w:r>
      <w:r>
        <w:t xml:space="preserve">  </w:t>
      </w:r>
      <w:r>
        <w:t>(</w:t>
      </w:r>
      <w:r>
        <w:t xml:space="preserve">  </w:t>
      </w:r>
      <w:r>
        <w:t>[</w:t>
      </w:r>
      <w:r>
        <w:t xml:space="preserve"> eq-argument-list </w:t>
      </w:r>
      <w:r>
        <w:t>]</w:t>
      </w:r>
      <w:r>
        <w:t xml:space="preserve">  </w:t>
      </w:r>
      <w:r>
        <w:t>)</w:t>
      </w:r>
    </w:p>
    <w:p w:rsidRDefault="00476CD1" w:rsidP="00476CD1" w:rsidR="00476CD1">
      <w:pPr>
        <w:rPr>
          <w:rStyle w:val="Emphasisstrong"/>
        </w:rPr>
      </w:pPr>
      <w:r>
        <w:t>eq-argument-list</w:t>
      </w:r>
      <w:r>
        <w:t xml:space="preserve"> is a list of arguments separated using a </w:t>
      </w:r>
      <w:hyperlink r:id="rId8">
        <w:r>
          <w:rPr>
            <w:rStyle w:val="Hyperlink"/>
          </w:rPr>
          <w:t>separator</w:t>
        </w:r>
      </w:hyperlink>
      <w:r>
        <w:t xml:space="preserve"> character. For implementations using a period (.) as the radix point, the </w:t>
      </w:r>
      <w:hyperlink r:id="rId8">
        <w:r>
          <w:rPr>
            <w:rStyle w:val="Hyperlink"/>
          </w:rPr>
          <w:t>separator</w:t>
        </w:r>
      </w:hyperlink>
      <w:r>
        <w:t xml:space="preserve"> character is a comma (,). For implementations using a comma (,) as the radix point, the </w:t>
      </w:r>
      <w:hyperlink r:id="rId8">
        <w:r>
          <w:rPr>
            <w:rStyle w:val="Hyperlink"/>
          </w:rPr>
          <w:t>separator</w:t>
        </w:r>
      </w:hyperlink>
      <w:r>
        <w:t xml:space="preserve"> character is a semicolon (;).</w:t>
      </w:r>
    </w:p>
    <w:p w:rsidRDefault="00476CD1" w:rsidP="00476CD1" w:rsidR="00476CD1">
      <w:r>
        <w:t>Description:</w:t>
      </w:r>
      <w:r>
        <w:t xml:space="preserve"> Computes the specified mathematical equation.</w:t>
      </w:r>
    </w:p>
    <w:p w:rsidRDefault="00476CD1" w:rsidP="00476CD1" w:rsidR="00476CD1">
      <w:r>
        <w:t>Field Value</w:t>
      </w:r>
      <w:r>
        <w:t xml:space="preserve">: The </w:t>
      </w:r>
      <w:hyperlink r:id="rId9">
        <w:r>
          <w:rPr>
            <w:rStyle w:val="Hyperlink"/>
          </w:rPr>
          <w:t>result</w:t>
        </w:r>
      </w:hyperlink>
      <w:r>
        <w:t xml:space="preserve"> of the specified mathematical equation. [</w:t>
      </w:r>
      <w:r>
        <w:t>Note</w:t>
      </w:r>
      <w:r>
        <w:t xml:space="preserve">: The </w:t>
      </w:r>
      <w:hyperlink r:id="rId9">
        <w:r>
          <w:rPr>
            <w:rStyle w:val="Hyperlink"/>
          </w:rPr>
          <w:t>result</w:t>
        </w:r>
      </w:hyperlink>
      <w:r>
        <w:t xml:space="preserve"> of an </w:t>
      </w:r>
      <w:r>
        <w:t>EQ</w:t>
      </w:r>
      <w:r>
        <w:t xml:space="preserve"> field can be used as an argument in another </w:t>
      </w:r>
      <w:r>
        <w:t>EQ</w:t>
      </w:r>
      <w:r>
        <w:t xml:space="preserve"> field's </w:t>
      </w:r>
      <w:r>
        <w:t>eq-argument-list</w:t>
      </w:r>
      <w:r>
        <w:t xml:space="preserve">. </w:t>
      </w:r>
      <w:r>
        <w:t>end note</w:t>
      </w:r>
      <w:r>
        <w:t>]</w:t>
      </w:r>
    </w:p>
    <w:p w:rsidRDefault="00476CD1" w:rsidP="00476CD1" w:rsidR="00476CD1">
      <w:r>
        <w:t>Switches</w:t>
      </w:r>
      <w:r>
        <w:t xml:space="preserve">: One of the following </w:t>
      </w:r>
      <w:r>
        <w:t>eq-primary-switch</w:t>
      </w:r>
      <w:r>
        <w:t xml:space="preserve">es: </w:t>
      </w:r>
      <w:r>
        <w:t>\a</w:t>
      </w:r>
      <w:r>
        <w:t xml:space="preserve">, </w:t>
      </w:r>
      <w:r>
        <w:t>\b</w:t>
      </w:r>
      <w:r>
        <w:t xml:space="preserve">, </w:t>
      </w:r>
      <w:r>
        <w:t>\d</w:t>
      </w:r>
      <w:r>
        <w:t xml:space="preserve">, </w:t>
      </w:r>
      <w:r>
        <w:t>\f</w:t>
      </w:r>
      <w:r>
        <w:t xml:space="preserve">, </w:t>
      </w:r>
      <w:r>
        <w:t>\i</w:t>
      </w:r>
      <w:r>
        <w:t xml:space="preserve">, </w:t>
      </w:r>
      <w:r>
        <w:t>\l</w:t>
      </w:r>
      <w:r>
        <w:t xml:space="preserve">, </w:t>
      </w:r>
      <w:r>
        <w:t>\o</w:t>
      </w:r>
      <w:r>
        <w:t xml:space="preserve">, </w:t>
      </w:r>
      <w:r>
        <w:t>\r</w:t>
      </w:r>
      <w:r>
        <w:t xml:space="preserve">, </w:t>
      </w:r>
      <w:r>
        <w:t>\s</w:t>
      </w:r>
      <w:r>
        <w:t xml:space="preserve">, and </w:t>
      </w:r>
      <w:r>
        <w:t>\x</w:t>
      </w:r>
      <w:r>
        <w:t>. Each of these switches has one or more subswitches, as shown below.</w:t>
      </w:r>
    </w:p>
    <w:p w:rsidRDefault="00476CD1" w:rsidP="00476CD1" w:rsidR="00476CD1">
      <w:r>
        <w:t>\a</w:t>
      </w:r>
      <w:r>
        <w:t xml:space="preserve"> produces an array using the argument values in </w:t>
      </w:r>
      <w:r>
        <w:t>eq-argument-list</w:t>
      </w:r>
      <w:r>
        <w:t xml:space="preserve"> (which are in row-major order) and the </w:t>
      </w:r>
      <w:r>
        <w:t>field-specific-switch</w:t>
      </w:r>
      <w:r>
        <w:t>es below:</w:t>
      </w:r>
    </w:p>
    <w:tbl>
      <w:tblPr>
        <w:tblStyle w:val="IndentedElementTable"/>
        <w:tblW w:type="auto" w:w="0"/>
        <w:tblLook w:val="0480" w:noVBand="1" w:noHBand="0" w:lastColumn="0" w:firstColumn="1" w:lastRow="0" w:firstRow="0"/>
      </w:tblPr>
      <w:tblGrid>
        <w:gridCol w:w="2358"/>
        <w:gridCol w:w="6743"/>
      </w:tblGrid>
      <w:tr w:rsidTr="002E5918" w:rsidR="00476CD1">
        <w:tc>
          <w:tcPr>
            <w:tcW w:type="dxa" w:w="2358"/>
          </w:tcPr>
          <w:p w:rsidRDefault="00476CD1" w:rsidP="002E5918" w:rsidR="00476CD1">
            <w:r>
              <w:t>\ac</w:t>
            </w:r>
          </w:p>
        </w:tc>
        <w:tc>
          <w:tcPr>
            <w:tcW w:type="dxa" w:w="6743"/>
          </w:tcPr>
          <w:p w:rsidRDefault="00476CD1" w:rsidP="002E5918" w:rsidR="00476CD1">
            <w:r>
              <w:t>Alignment is centered in each array column.</w:t>
            </w:r>
          </w:p>
        </w:tc>
      </w:tr>
      <w:tr w:rsidTr="002E5918" w:rsidR="00476CD1">
        <w:tc>
          <w:tcPr>
            <w:tcW w:type="dxa" w:w="2358"/>
          </w:tcPr>
          <w:p w:rsidRDefault="00476CD1" w:rsidP="002E5918" w:rsidR="00476CD1">
            <w:r>
              <w:t>\al</w:t>
            </w:r>
          </w:p>
        </w:tc>
        <w:tc>
          <w:tcPr>
            <w:tcW w:type="dxa" w:w="6743"/>
          </w:tcPr>
          <w:p w:rsidRDefault="00476CD1" w:rsidP="002E5918" w:rsidR="00476CD1">
            <w:r>
              <w:t>Alignment is left in each array column.</w:t>
            </w:r>
          </w:p>
        </w:tc>
      </w:tr>
      <w:tr w:rsidTr="002E5918" w:rsidR="00476CD1">
        <w:tc>
          <w:tcPr>
            <w:tcW w:type="dxa" w:w="2358"/>
          </w:tcPr>
          <w:p w:rsidRDefault="00476CD1" w:rsidP="002E5918" w:rsidR="00476CD1">
            <w:r>
              <w:t>\ar</w:t>
            </w:r>
          </w:p>
        </w:tc>
        <w:tc>
          <w:tcPr>
            <w:tcW w:type="dxa" w:w="6743"/>
          </w:tcPr>
          <w:p w:rsidRDefault="00476CD1" w:rsidP="002E5918" w:rsidR="00476CD1">
            <w:r>
              <w:t>Alignment is right in each array column.</w:t>
            </w:r>
          </w:p>
        </w:tc>
      </w:tr>
      <w:tr w:rsidTr="002E5918" w:rsidR="00476CD1">
        <w:tc>
          <w:tcPr>
            <w:tcW w:type="dxa" w:w="2358"/>
          </w:tcPr>
          <w:p w:rsidRDefault="00476CD1" w:rsidP="002E5918" w:rsidR="00476CD1">
            <w:r>
              <w:t xml:space="preserve">\co </w:t>
            </w:r>
            <w:r>
              <w:t>field-argument</w:t>
            </w:r>
          </w:p>
        </w:tc>
        <w:tc>
          <w:tcPr>
            <w:tcW w:type="dxa" w:w="6743"/>
          </w:tcPr>
          <w:p w:rsidRDefault="00476CD1" w:rsidP="002E5918" w:rsidR="00476CD1">
            <w:r>
              <w:t xml:space="preserve">The number of columns in the array is specified by </w:t>
            </w:r>
            <w:r>
              <w:t>text</w:t>
            </w:r>
            <w:r>
              <w:t xml:space="preserve"> in this switch's </w:t>
            </w:r>
            <w:r>
              <w:t>field-argument</w:t>
            </w:r>
            <w:r>
              <w:t>. In the absence of this switch, the number is 1.</w:t>
            </w:r>
          </w:p>
        </w:tc>
      </w:tr>
      <w:tr w:rsidTr="002E5918" w:rsidR="00476CD1">
        <w:tc>
          <w:tcPr>
            <w:tcW w:type="dxa" w:w="2358"/>
          </w:tcPr>
          <w:p w:rsidRDefault="00476CD1" w:rsidP="002E5918" w:rsidR="00476CD1">
            <w:r>
              <w:t xml:space="preserve">\hs </w:t>
            </w:r>
            <w:r>
              <w:t>field-argument</w:t>
            </w:r>
          </w:p>
        </w:tc>
        <w:tc>
          <w:tcPr>
            <w:tcW w:type="dxa" w:w="6743"/>
          </w:tcPr>
          <w:p w:rsidRDefault="00476CD1" w:rsidP="002E5918" w:rsidR="00476CD1">
            <w:r>
              <w:t xml:space="preserve">Adds the integral number of points of horizontal </w:t>
            </w:r>
            <w:hyperlink r:id="rId10">
              <w:r>
                <w:rPr>
                  <w:rStyle w:val="Hyperlink"/>
                </w:rPr>
                <w:t>spacing</w:t>
              </w:r>
            </w:hyperlink>
            <w:r>
              <w:t xml:space="preserve"> specified by </w:t>
            </w:r>
            <w:r>
              <w:t>text</w:t>
            </w:r>
            <w:r>
              <w:t xml:space="preserve"> in this switch's </w:t>
            </w:r>
            <w:r>
              <w:t>field-argument</w:t>
            </w:r>
            <w:r>
              <w:t xml:space="preserve"> </w:t>
            </w:r>
            <w:hyperlink r:id="rId11">
              <w:r>
                <w:rPr>
                  <w:rStyle w:val="Hyperlink"/>
                </w:rPr>
                <w:t>between</w:t>
              </w:r>
            </w:hyperlink>
            <w:r>
              <w:t xml:space="preserve"> columns.</w:t>
            </w:r>
          </w:p>
        </w:tc>
      </w:tr>
      <w:tr w:rsidTr="002E5918" w:rsidR="00476CD1">
        <w:tc>
          <w:tcPr>
            <w:tcW w:type="dxa" w:w="2358"/>
          </w:tcPr>
          <w:p w:rsidRDefault="00476CD1" w:rsidP="002E5918" w:rsidR="00476CD1">
            <w:r>
              <w:t xml:space="preserve">\vs </w:t>
            </w:r>
            <w:r>
              <w:t>field-argument</w:t>
            </w:r>
          </w:p>
        </w:tc>
        <w:tc>
          <w:tcPr>
            <w:tcW w:type="dxa" w:w="6743"/>
          </w:tcPr>
          <w:p w:rsidRDefault="00476CD1" w:rsidP="002E5918" w:rsidR="00476CD1">
            <w:r>
              <w:t xml:space="preserve">Adds the integral number of points of vertical </w:t>
            </w:r>
            <w:hyperlink r:id="rId10">
              <w:r>
                <w:rPr>
                  <w:rStyle w:val="Hyperlink"/>
                </w:rPr>
                <w:t>spacing</w:t>
              </w:r>
            </w:hyperlink>
            <w:r>
              <w:t xml:space="preserve"> specified by </w:t>
            </w:r>
            <w:r>
              <w:t>text</w:t>
            </w:r>
            <w:r>
              <w:t xml:space="preserve"> in this switch's </w:t>
            </w:r>
            <w:r>
              <w:t>field-argument</w:t>
            </w:r>
            <w:r>
              <w:t xml:space="preserve"> </w:t>
            </w:r>
            <w:hyperlink r:id="rId11">
              <w:r>
                <w:rPr>
                  <w:rStyle w:val="Hyperlink"/>
                </w:rPr>
                <w:t>between</w:t>
              </w:r>
            </w:hyperlink>
            <w:r>
              <w:t xml:space="preserve"> lines.</w:t>
            </w:r>
          </w:p>
        </w:tc>
      </w:tr>
    </w:tbl>
    <w:p w:rsidRDefault="00476CD1" w:rsidP="00476CD1" w:rsidR="00476CD1">
      <w:pPr>
        <w:rPr>
          <w:rStyle w:val="Codefragment"/>
        </w:rPr>
      </w:pPr>
    </w:p>
    <w:p w:rsidRDefault="00476CD1" w:rsidP="00476CD1" w:rsidR="00476CD1">
      <w:r>
        <w:t>\b</w:t>
      </w:r>
      <w:r>
        <w:t xml:space="preserve"> brackets the single element in </w:t>
      </w:r>
      <w:r>
        <w:t>eq-argument-list</w:t>
      </w:r>
      <w:r>
        <w:t xml:space="preserve"> in a size appropriate for that element. The default form of brackets is parentheses. The </w:t>
      </w:r>
      <w:r>
        <w:t>field-specific-switch</w:t>
      </w:r>
      <w:r>
        <w:t>es below may be used:</w:t>
      </w:r>
    </w:p>
    <w:tbl>
      <w:tblPr>
        <w:tblStyle w:val="IndentedElementTable"/>
        <w:tblW w:type="auto" w:w="0"/>
        <w:tblLook w:val="0480" w:noVBand="1" w:noHBand="0" w:lastColumn="0" w:firstColumn="1" w:lastRow="0" w:firstRow="0"/>
      </w:tblPr>
      <w:tblGrid>
        <w:gridCol w:w="2358"/>
        <w:gridCol w:w="6743"/>
      </w:tblGrid>
      <w:tr w:rsidTr="002E5918" w:rsidR="00476CD1">
        <w:tc>
          <w:tcPr>
            <w:tcW w:type="dxa" w:w="2358"/>
          </w:tcPr>
          <w:p w:rsidRDefault="00476CD1" w:rsidP="002E5918" w:rsidR="00476CD1">
            <w:r>
              <w:t>\bc \</w:t>
            </w:r>
            <w:r>
              <w:t>char</w:t>
            </w:r>
          </w:p>
        </w:tc>
        <w:tc>
          <w:tcPr>
            <w:tcW w:type="dxa" w:w="6743"/>
          </w:tcPr>
          <w:p w:rsidRDefault="00476CD1" w:rsidP="002E5918" w:rsidR="00476CD1">
            <w:r>
              <w:t xml:space="preserve">Uses the character designated by </w:t>
            </w:r>
            <w:r>
              <w:t>char</w:t>
            </w:r>
            <w:r>
              <w:t xml:space="preserve"> as both the left and right bracket character. However, if </w:t>
            </w:r>
            <w:r>
              <w:t>char</w:t>
            </w:r>
            <w:r>
              <w:t xml:space="preserve"> is </w:t>
            </w:r>
            <w:r>
              <w:t>{</w:t>
            </w:r>
            <w:r>
              <w:t xml:space="preserve">, </w:t>
            </w:r>
            <w:r>
              <w:t>[</w:t>
            </w:r>
            <w:r>
              <w:t xml:space="preserve">, </w:t>
            </w:r>
            <w:r>
              <w:t>(</w:t>
            </w:r>
            <w:r>
              <w:t>, or </w:t>
            </w:r>
            <w:r>
              <w:t>&lt;</w:t>
            </w:r>
            <w:r>
              <w:t>, that character is used for the left bracket, and </w:t>
            </w:r>
            <w:r>
              <w:t>}</w:t>
            </w:r>
            <w:r>
              <w:t xml:space="preserve">, </w:t>
            </w:r>
            <w:r>
              <w:t>]</w:t>
            </w:r>
            <w:r>
              <w:t xml:space="preserve">, </w:t>
            </w:r>
            <w:r>
              <w:t>)</w:t>
            </w:r>
            <w:r>
              <w:t>, or </w:t>
            </w:r>
            <w:r>
              <w:t>&gt;</w:t>
            </w:r>
            <w:r>
              <w:t>, respectively, is used for right bracket.</w:t>
            </w:r>
          </w:p>
        </w:tc>
      </w:tr>
      <w:tr w:rsidTr="002E5918" w:rsidR="00476CD1">
        <w:tc>
          <w:tcPr>
            <w:tcW w:type="dxa" w:w="2358"/>
          </w:tcPr>
          <w:p w:rsidRDefault="00476CD1" w:rsidP="002E5918" w:rsidR="00476CD1">
            <w:r>
              <w:t>\lc \</w:t>
            </w:r>
            <w:r>
              <w:t>char</w:t>
            </w:r>
          </w:p>
        </w:tc>
        <w:tc>
          <w:tcPr>
            <w:tcW w:type="dxa" w:w="6743"/>
          </w:tcPr>
          <w:p w:rsidRDefault="00476CD1" w:rsidP="002E5918" w:rsidR="00476CD1">
            <w:r>
              <w:t xml:space="preserve">Uses the character designated by </w:t>
            </w:r>
            <w:r>
              <w:t>char</w:t>
            </w:r>
            <w:r>
              <w:t xml:space="preserve"> as the left bracket character.</w:t>
            </w:r>
          </w:p>
        </w:tc>
      </w:tr>
      <w:tr w:rsidTr="002E5918" w:rsidR="00476CD1">
        <w:tc>
          <w:tcPr>
            <w:tcW w:type="dxa" w:w="2358"/>
          </w:tcPr>
          <w:p w:rsidRDefault="00476CD1" w:rsidP="002E5918" w:rsidR="00476CD1">
            <w:r>
              <w:t>\rc \</w:t>
            </w:r>
            <w:r>
              <w:t>char</w:t>
            </w:r>
          </w:p>
        </w:tc>
        <w:tc>
          <w:tcPr>
            <w:tcW w:type="dxa" w:w="6743"/>
          </w:tcPr>
          <w:p w:rsidRDefault="00476CD1" w:rsidP="002E5918" w:rsidR="00476CD1">
            <w:r>
              <w:t xml:space="preserve">Uses the character designated by </w:t>
            </w:r>
            <w:r>
              <w:t>char</w:t>
            </w:r>
            <w:r>
              <w:t xml:space="preserve"> as the right bracket character.</w:t>
            </w:r>
          </w:p>
        </w:tc>
      </w:tr>
    </w:tbl>
    <w:p w:rsidRDefault="00476CD1" w:rsidP="00476CD1" w:rsidR="00476CD1"/>
    <w:p w:rsidRDefault="00476CD1" w:rsidP="00476CD1" w:rsidR="00476CD1">
      <w:r>
        <w:t>\d</w:t>
      </w:r>
      <w:r>
        <w:t xml:space="preserve"> Controls where the </w:t>
      </w:r>
      <w:hyperlink r:id="rId12">
        <w:r>
          <w:rPr>
            <w:rStyle w:val="Hyperlink"/>
          </w:rPr>
          <w:t>next</w:t>
        </w:r>
      </w:hyperlink>
      <w:r>
        <w:t xml:space="preserve"> character following the </w:t>
      </w:r>
      <w:r>
        <w:t>EQ</w:t>
      </w:r>
      <w:r>
        <w:t xml:space="preserve"> field is drawn (that is, the displacement). </w:t>
      </w:r>
      <w:r>
        <w:t>eq-argument-list</w:t>
      </w:r>
      <w:r>
        <w:t xml:space="preserve"> shall have no arguments. The </w:t>
      </w:r>
      <w:r>
        <w:t>field-specific-switch</w:t>
      </w:r>
      <w:r>
        <w:t>es below may be used:</w:t>
      </w:r>
    </w:p>
    <w:tbl>
      <w:tblPr>
        <w:tblStyle w:val="IndentedElementTable"/>
        <w:tblW w:type="auto" w:w="0"/>
        <w:tblLook w:val="0480" w:noVBand="1" w:noHBand="0" w:lastColumn="0" w:firstColumn="1" w:lastRow="0" w:firstRow="0"/>
      </w:tblPr>
      <w:tblGrid>
        <w:gridCol w:w="2358"/>
        <w:gridCol w:w="6743"/>
      </w:tblGrid>
      <w:tr w:rsidTr="002E5918" w:rsidR="00476CD1">
        <w:tc>
          <w:tcPr>
            <w:tcW w:type="dxa" w:w="2358"/>
          </w:tcPr>
          <w:p w:rsidRDefault="00476CD1" w:rsidP="002E5918" w:rsidR="00476CD1">
            <w:r>
              <w:t xml:space="preserve">\ba </w:t>
            </w:r>
            <w:r>
              <w:t>field-argument</w:t>
            </w:r>
          </w:p>
        </w:tc>
        <w:tc>
          <w:tcPr>
            <w:tcW w:type="dxa" w:w="6743"/>
          </w:tcPr>
          <w:p w:rsidRDefault="00476CD1" w:rsidP="002E5918" w:rsidR="00476CD1">
            <w:r>
              <w:t xml:space="preserve">Draws to the left (backward) the integral number of points specified by </w:t>
            </w:r>
            <w:r>
              <w:t>text</w:t>
            </w:r>
            <w:r>
              <w:t xml:space="preserve"> in this switch's </w:t>
            </w:r>
            <w:r>
              <w:t>field-argument</w:t>
            </w:r>
            <w:r>
              <w:t>.</w:t>
            </w:r>
          </w:p>
        </w:tc>
      </w:tr>
      <w:tr w:rsidTr="002E5918" w:rsidR="00476CD1">
        <w:tc>
          <w:tcPr>
            <w:tcW w:type="dxa" w:w="2358"/>
          </w:tcPr>
          <w:p w:rsidRDefault="00476CD1" w:rsidP="002E5918" w:rsidR="00476CD1">
            <w:r>
              <w:t xml:space="preserve">\fo </w:t>
            </w:r>
            <w:r>
              <w:t>field-argument</w:t>
            </w:r>
          </w:p>
        </w:tc>
        <w:tc>
          <w:tcPr>
            <w:tcW w:type="dxa" w:w="6743"/>
          </w:tcPr>
          <w:p w:rsidRDefault="00476CD1" w:rsidP="002E5918" w:rsidR="00476CD1">
            <w:r>
              <w:t xml:space="preserve">Draws to the right (forward) the integral number of points specified by </w:t>
            </w:r>
            <w:r>
              <w:t>text</w:t>
            </w:r>
            <w:r>
              <w:t xml:space="preserve"> in this switch's </w:t>
            </w:r>
            <w:r>
              <w:t>field-argument</w:t>
            </w:r>
            <w:r>
              <w:t>.</w:t>
            </w:r>
          </w:p>
        </w:tc>
      </w:tr>
      <w:tr w:rsidTr="002E5918" w:rsidR="00476CD1">
        <w:tc>
          <w:tcPr>
            <w:tcW w:type="dxa" w:w="2358"/>
          </w:tcPr>
          <w:p w:rsidRDefault="00476CD1" w:rsidP="002E5918" w:rsidR="00476CD1">
            <w:r>
              <w:t>\li</w:t>
            </w:r>
          </w:p>
        </w:tc>
        <w:tc>
          <w:tcPr>
            <w:tcW w:type="dxa" w:w="6743"/>
          </w:tcPr>
          <w:p w:rsidRDefault="00476CD1" w:rsidP="002E5918" w:rsidR="00476CD1">
            <w:r>
              <w:t xml:space="preserve">Underlines the space up to the </w:t>
            </w:r>
            <w:hyperlink r:id="rId12">
              <w:r>
                <w:rPr>
                  <w:rStyle w:val="Hyperlink"/>
                </w:rPr>
                <w:t>next</w:t>
              </w:r>
            </w:hyperlink>
            <w:r>
              <w:t xml:space="preserve"> character.</w:t>
            </w:r>
          </w:p>
        </w:tc>
      </w:tr>
    </w:tbl>
    <w:p w:rsidRDefault="00476CD1" w:rsidP="00476CD1" w:rsidR="00476CD1"/>
    <w:p w:rsidRDefault="00476CD1" w:rsidP="00476CD1" w:rsidR="00476CD1">
      <w:pPr>
        <w:rPr>
          <w:rStyle w:val="Codefragment"/>
        </w:rPr>
      </w:pPr>
      <w:r>
        <w:t>\f</w:t>
      </w:r>
      <w:r>
        <w:t xml:space="preserve"> Creates a fraction with the first argument as numerator and the second argument as denominator, centered above and below the division line, respectively. </w:t>
      </w:r>
      <w:r>
        <w:t>eq-argument-list</w:t>
      </w:r>
      <w:r>
        <w:t xml:space="preserve"> shall have exactly two arguments. There are no </w:t>
      </w:r>
      <w:r>
        <w:t>field-specific-switch</w:t>
      </w:r>
      <w:r>
        <w:t>es for this switch.</w:t>
      </w:r>
    </w:p>
    <w:p w:rsidRDefault="00476CD1" w:rsidP="00476CD1" w:rsidR="00476CD1">
      <w:r>
        <w:t>\i</w:t>
      </w:r>
      <w:r>
        <w:t xml:space="preserve"> Creates an integral using the specified or default symbol and three elements. The first argument is the lower limit, the second is the upper limit, and the third is the integrand. </w:t>
      </w:r>
      <w:r>
        <w:t>eq-argument-list</w:t>
      </w:r>
      <w:r>
        <w:t xml:space="preserve"> shall have exactly three arguments. The </w:t>
      </w:r>
      <w:r>
        <w:t>field-specific-switch</w:t>
      </w:r>
      <w:r>
        <w:t>es below may be used:</w:t>
      </w:r>
    </w:p>
    <w:tbl>
      <w:tblPr>
        <w:tblStyle w:val="IndentedElementTable"/>
        <w:tblW w:type="auto" w:w="0"/>
        <w:tblLook w:val="0480" w:noVBand="1" w:noHBand="0" w:lastColumn="0" w:firstColumn="1" w:lastRow="0" w:firstRow="0"/>
      </w:tblPr>
      <w:tblGrid>
        <w:gridCol w:w="2358"/>
        <w:gridCol w:w="6743"/>
      </w:tblGrid>
      <w:tr w:rsidTr="002E5918" w:rsidR="00476CD1">
        <w:tc>
          <w:tcPr>
            <w:tcW w:type="dxa" w:w="2358"/>
          </w:tcPr>
          <w:p w:rsidRDefault="00476CD1" w:rsidP="002E5918" w:rsidR="00476CD1">
            <w:r>
              <w:t>\fc \</w:t>
            </w:r>
            <w:r>
              <w:t>char</w:t>
            </w:r>
          </w:p>
        </w:tc>
        <w:tc>
          <w:tcPr>
            <w:tcW w:type="dxa" w:w="6743"/>
          </w:tcPr>
          <w:p w:rsidRDefault="00476CD1" w:rsidP="002E5918" w:rsidR="00476CD1">
            <w:r>
              <w:t xml:space="preserve">Uses the character designated by </w:t>
            </w:r>
            <w:r>
              <w:t>char</w:t>
            </w:r>
            <w:r>
              <w:t xml:space="preserve"> as the fixed-height character for the symbol. </w:t>
            </w:r>
          </w:p>
        </w:tc>
      </w:tr>
      <w:tr w:rsidTr="002E5918" w:rsidR="00476CD1">
        <w:tc>
          <w:tcPr>
            <w:tcW w:type="dxa" w:w="2358"/>
          </w:tcPr>
          <w:p w:rsidRDefault="00476CD1" w:rsidP="002E5918" w:rsidR="00476CD1">
            <w:r>
              <w:t>\in</w:t>
            </w:r>
          </w:p>
        </w:tc>
        <w:tc>
          <w:tcPr>
            <w:tcW w:type="dxa" w:w="6743"/>
          </w:tcPr>
          <w:p w:rsidRDefault="00476CD1" w:rsidP="002E5918" w:rsidR="00476CD1">
            <w:r>
              <w:t xml:space="preserve">Uses an inline </w:t>
            </w:r>
            <w:hyperlink r:id="rId13">
              <w:r>
                <w:rPr>
                  <w:rStyle w:val="Hyperlink"/>
                </w:rPr>
                <w:t>format</w:t>
              </w:r>
            </w:hyperlink>
            <w:r>
              <w:t xml:space="preserve"> with the limits displayed to the right of the symbol instead of above and below it. </w:t>
            </w:r>
          </w:p>
        </w:tc>
      </w:tr>
      <w:tr w:rsidTr="002E5918" w:rsidR="00476CD1">
        <w:tc>
          <w:tcPr>
            <w:tcW w:type="dxa" w:w="2358"/>
          </w:tcPr>
          <w:p w:rsidRDefault="00476CD1" w:rsidP="002E5918" w:rsidR="00476CD1">
            <w:r>
              <w:t>\pr</w:t>
            </w:r>
          </w:p>
        </w:tc>
        <w:tc>
          <w:tcPr>
            <w:tcW w:type="dxa" w:w="6743"/>
          </w:tcPr>
          <w:p w:rsidRDefault="00476CD1" w:rsidP="002E5918" w:rsidR="00476CD1">
            <w:r>
              <w:t>Uses the symbol Capital pi and creates a product.</w:t>
            </w:r>
          </w:p>
        </w:tc>
      </w:tr>
      <w:tr w:rsidTr="002E5918" w:rsidR="00476CD1">
        <w:tc>
          <w:tcPr>
            <w:tcW w:type="dxa" w:w="2358"/>
          </w:tcPr>
          <w:p w:rsidRDefault="00476CD1" w:rsidP="002E5918" w:rsidR="00476CD1">
            <w:r>
              <w:t>\su</w:t>
            </w:r>
          </w:p>
        </w:tc>
        <w:tc>
          <w:tcPr>
            <w:tcW w:type="dxa" w:w="6743"/>
          </w:tcPr>
          <w:p w:rsidRDefault="00476CD1" w:rsidP="002E5918" w:rsidR="00476CD1">
            <w:r>
              <w:t>Uses the symbol Capital sigma and creates a summation.</w:t>
            </w:r>
          </w:p>
        </w:tc>
      </w:tr>
      <w:tr w:rsidTr="002E5918" w:rsidR="00476CD1">
        <w:tc>
          <w:tcPr>
            <w:tcW w:type="dxa" w:w="2358"/>
          </w:tcPr>
          <w:p w:rsidRDefault="00476CD1" w:rsidP="002E5918" w:rsidR="00476CD1">
            <w:r>
              <w:t>\vc \</w:t>
            </w:r>
            <w:r>
              <w:t>char</w:t>
            </w:r>
          </w:p>
        </w:tc>
        <w:tc>
          <w:tcPr>
            <w:tcW w:type="dxa" w:w="6743"/>
          </w:tcPr>
          <w:p w:rsidRDefault="00476CD1" w:rsidP="002E5918" w:rsidR="00476CD1">
            <w:r>
              <w:t xml:space="preserve">Uses the character designated by </w:t>
            </w:r>
            <w:r>
              <w:t>char</w:t>
            </w:r>
            <w:r>
              <w:t xml:space="preserve"> as the variable-height character for the symbol. The symbol matches the height of the third argument.</w:t>
            </w:r>
          </w:p>
        </w:tc>
      </w:tr>
    </w:tbl>
    <w:p w:rsidRDefault="00476CD1" w:rsidP="00476CD1" w:rsidR="00476CD1">
      <w:pPr>
        <w:rPr>
          <w:rStyle w:val="Codefragment"/>
        </w:rPr>
      </w:pPr>
    </w:p>
    <w:p w:rsidRDefault="00476CD1" w:rsidP="00476CD1" w:rsidR="00476CD1">
      <w:pPr>
        <w:rPr>
          <w:rStyle w:val="Codefragment"/>
        </w:rPr>
      </w:pPr>
      <w:r>
        <w:t>\lf</w:t>
      </w:r>
      <w:r>
        <w:t xml:space="preserve"> Creates a list from an arbitrary number of arguments. There are no </w:t>
      </w:r>
      <w:r>
        <w:t>field-specific-switch</w:t>
      </w:r>
      <w:r>
        <w:t>es for this switch.</w:t>
      </w:r>
    </w:p>
    <w:p w:rsidRDefault="00476CD1" w:rsidP="00476CD1" w:rsidR="00476CD1">
      <w:r>
        <w:t>\o</w:t>
      </w:r>
      <w:r>
        <w:t xml:space="preserve"> Using an arbitrary number of arguments, displays each successive argument on top of the previous one. Each character is displayed within an invisible character box, with the switches being available to align the boxes on top of one another. The </w:t>
      </w:r>
      <w:r>
        <w:t>field-specific-switch</w:t>
      </w:r>
      <w:r>
        <w:t>es below may be used:</w:t>
      </w:r>
    </w:p>
    <w:tbl>
      <w:tblPr>
        <w:tblStyle w:val="IndentedElementTable"/>
        <w:tblW w:type="auto" w:w="0"/>
        <w:tblLook w:val="0480" w:noVBand="1" w:noHBand="0" w:lastColumn="0" w:firstColumn="1" w:lastRow="0" w:firstRow="0"/>
      </w:tblPr>
      <w:tblGrid>
        <w:gridCol w:w="2358"/>
        <w:gridCol w:w="6743"/>
      </w:tblGrid>
      <w:tr w:rsidTr="002E5918" w:rsidR="00476CD1">
        <w:tc>
          <w:tcPr>
            <w:tcW w:type="dxa" w:w="2358"/>
          </w:tcPr>
          <w:p w:rsidRDefault="00476CD1" w:rsidP="002E5918" w:rsidR="00476CD1">
            <w:r>
              <w:t>\ac</w:t>
            </w:r>
          </w:p>
        </w:tc>
        <w:tc>
          <w:tcPr>
            <w:tcW w:type="dxa" w:w="6743"/>
          </w:tcPr>
          <w:p w:rsidRDefault="00476CD1" w:rsidP="002E5918" w:rsidR="00476CD1">
            <w:r>
              <w:t>Alignment character box center (the default).</w:t>
            </w:r>
          </w:p>
        </w:tc>
      </w:tr>
      <w:tr w:rsidTr="002E5918" w:rsidR="00476CD1">
        <w:tc>
          <w:tcPr>
            <w:tcW w:type="dxa" w:w="2358"/>
          </w:tcPr>
          <w:p w:rsidRDefault="00476CD1" w:rsidP="002E5918" w:rsidR="00476CD1">
            <w:r>
              <w:t>\al</w:t>
            </w:r>
          </w:p>
        </w:tc>
        <w:tc>
          <w:tcPr>
            <w:tcW w:type="dxa" w:w="6743"/>
          </w:tcPr>
          <w:p w:rsidRDefault="00476CD1" w:rsidP="002E5918" w:rsidR="00476CD1">
            <w:r>
              <w:t>Alignment character box left.</w:t>
            </w:r>
          </w:p>
        </w:tc>
      </w:tr>
      <w:tr w:rsidTr="002E5918" w:rsidR="00476CD1">
        <w:tc>
          <w:tcPr>
            <w:tcW w:type="dxa" w:w="2358"/>
          </w:tcPr>
          <w:p w:rsidRDefault="00476CD1" w:rsidP="002E5918" w:rsidR="00476CD1">
            <w:r>
              <w:t>\ar</w:t>
            </w:r>
          </w:p>
        </w:tc>
        <w:tc>
          <w:tcPr>
            <w:tcW w:type="dxa" w:w="6743"/>
          </w:tcPr>
          <w:p w:rsidRDefault="00476CD1" w:rsidP="002E5918" w:rsidR="00476CD1">
            <w:r>
              <w:t>Alignment character box right.</w:t>
            </w:r>
          </w:p>
        </w:tc>
      </w:tr>
    </w:tbl>
    <w:p w:rsidRDefault="00476CD1" w:rsidP="00476CD1" w:rsidR="00476CD1">
      <w:pPr>
        <w:rPr>
          <w:rStyle w:val="Codefragment"/>
        </w:rPr>
      </w:pPr>
    </w:p>
    <w:p w:rsidRDefault="00476CD1" w:rsidP="00476CD1" w:rsidR="00476CD1">
      <w:pPr>
        <w:rPr>
          <w:rStyle w:val="Codefragment"/>
        </w:rPr>
      </w:pPr>
      <w:r>
        <w:t>\r</w:t>
      </w:r>
      <w:r>
        <w:t xml:space="preserve"> Creates a radical. </w:t>
      </w:r>
      <w:r>
        <w:t>eq-argument-list</w:t>
      </w:r>
      <w:r>
        <w:t xml:space="preserve"> shall have either one or two arguments. If it has one argument, the </w:t>
      </w:r>
      <w:hyperlink r:id="rId9">
        <w:r>
          <w:rPr>
            <w:rStyle w:val="Hyperlink"/>
          </w:rPr>
          <w:t>result</w:t>
        </w:r>
      </w:hyperlink>
      <w:r>
        <w:t xml:space="preserve"> is the square root of that argument. If it has two arguments, the </w:t>
      </w:r>
      <w:hyperlink r:id="rId9">
        <w:r>
          <w:rPr>
            <w:rStyle w:val="Hyperlink"/>
          </w:rPr>
          <w:t>result</w:t>
        </w:r>
      </w:hyperlink>
      <w:r>
        <w:t xml:space="preserve"> is the </w:t>
      </w:r>
      <w:r>
        <w:t>n</w:t>
      </w:r>
      <w:r>
        <w:t xml:space="preserve">th root of the second argument, where </w:t>
      </w:r>
      <w:r>
        <w:t>n</w:t>
      </w:r>
      <w:r>
        <w:t xml:space="preserve"> is the first argument. There are no </w:t>
      </w:r>
      <w:r>
        <w:t>field-specific-switch</w:t>
      </w:r>
      <w:r>
        <w:t>es for this switch.</w:t>
      </w:r>
    </w:p>
    <w:p w:rsidRDefault="00476CD1" w:rsidP="00476CD1" w:rsidR="00476CD1">
      <w:r>
        <w:t>\s</w:t>
      </w:r>
      <w:r>
        <w:t xml:space="preserve"> Creates a subscript or superscript. One or more arguments are permitted. If more than one element is specified, the elements are stacked and left-aligned. The </w:t>
      </w:r>
      <w:r>
        <w:t>field-specific-switch</w:t>
      </w:r>
      <w:r>
        <w:t>es below may be used:</w:t>
      </w:r>
    </w:p>
    <w:tbl>
      <w:tblPr>
        <w:tblStyle w:val="IndentedElementTable"/>
        <w:tblW w:type="auto" w:w="0"/>
        <w:tblLook w:val="0480" w:noVBand="1" w:noHBand="0" w:lastColumn="0" w:firstColumn="1" w:lastRow="0" w:firstRow="0"/>
      </w:tblPr>
      <w:tblGrid>
        <w:gridCol w:w="2358"/>
        <w:gridCol w:w="6743"/>
      </w:tblGrid>
      <w:tr w:rsidTr="002E5918" w:rsidR="00476CD1">
        <w:tc>
          <w:tcPr>
            <w:tcW w:type="dxa" w:w="2358"/>
          </w:tcPr>
          <w:p w:rsidRDefault="00476CD1" w:rsidP="002E5918" w:rsidR="00476CD1">
            <w:r>
              <w:t xml:space="preserve">\ai </w:t>
            </w:r>
            <w:r>
              <w:t>field-argument</w:t>
            </w:r>
          </w:p>
        </w:tc>
        <w:tc>
          <w:tcPr>
            <w:tcW w:type="dxa" w:w="6743"/>
          </w:tcPr>
          <w:p w:rsidRDefault="00476CD1" w:rsidP="002E5918" w:rsidR="00476CD1">
            <w:r>
              <w:t xml:space="preserve">Adds space above a line in a paragraph by the integral number of points specified by </w:t>
            </w:r>
            <w:r>
              <w:t>text</w:t>
            </w:r>
            <w:r>
              <w:t xml:space="preserve"> in this switch's </w:t>
            </w:r>
            <w:r>
              <w:t>field-argument</w:t>
            </w:r>
            <w:r>
              <w:t>. The default is 2 points.</w:t>
            </w:r>
          </w:p>
        </w:tc>
      </w:tr>
      <w:tr w:rsidTr="002E5918" w:rsidR="00476CD1">
        <w:tc>
          <w:tcPr>
            <w:tcW w:type="dxa" w:w="2358"/>
          </w:tcPr>
          <w:p w:rsidRDefault="00476CD1" w:rsidP="002E5918" w:rsidR="00476CD1">
            <w:r>
              <w:t xml:space="preserve">\di </w:t>
            </w:r>
            <w:r>
              <w:t>field-argument</w:t>
            </w:r>
          </w:p>
        </w:tc>
        <w:tc>
          <w:tcPr>
            <w:tcW w:type="dxa" w:w="6743"/>
          </w:tcPr>
          <w:p w:rsidRDefault="00476CD1" w:rsidP="002E5918" w:rsidR="00476CD1">
            <w:r>
              <w:t xml:space="preserve">Adds space below a line in a paragraph by the integral number of points specified by </w:t>
            </w:r>
            <w:r>
              <w:t>text</w:t>
            </w:r>
            <w:r>
              <w:t xml:space="preserve"> in this switch's </w:t>
            </w:r>
            <w:r>
              <w:t>field-argument</w:t>
            </w:r>
            <w:r>
              <w:t>.</w:t>
            </w:r>
          </w:p>
        </w:tc>
      </w:tr>
      <w:tr w:rsidTr="002E5918" w:rsidR="00476CD1">
        <w:tc>
          <w:tcPr>
            <w:tcW w:type="dxa" w:w="2358"/>
          </w:tcPr>
          <w:p w:rsidRDefault="00476CD1" w:rsidP="002E5918" w:rsidR="00476CD1">
            <w:r>
              <w:t xml:space="preserve">\do </w:t>
            </w:r>
            <w:r>
              <w:t>field-argument</w:t>
            </w:r>
          </w:p>
        </w:tc>
        <w:tc>
          <w:tcPr>
            <w:tcW w:type="dxa" w:w="6743"/>
          </w:tcPr>
          <w:p w:rsidRDefault="00476CD1" w:rsidP="002E5918" w:rsidR="00476CD1">
            <w:r>
              <w:t xml:space="preserve">Moves a single argument below the adjacent text by the integral number of points specified by </w:t>
            </w:r>
            <w:r>
              <w:t>text</w:t>
            </w:r>
            <w:r>
              <w:t xml:space="preserve"> in this switch's </w:t>
            </w:r>
            <w:r>
              <w:t>field-argument</w:t>
            </w:r>
            <w:r>
              <w:t>. The default is 2 points.</w:t>
            </w:r>
          </w:p>
        </w:tc>
      </w:tr>
      <w:tr w:rsidTr="002E5918" w:rsidR="00476CD1">
        <w:tc>
          <w:tcPr>
            <w:tcW w:type="dxa" w:w="2358"/>
          </w:tcPr>
          <w:p w:rsidRDefault="00476CD1" w:rsidP="002E5918" w:rsidR="00476CD1">
            <w:r>
              <w:t xml:space="preserve">\up </w:t>
            </w:r>
            <w:r>
              <w:t>field-argument</w:t>
            </w:r>
          </w:p>
        </w:tc>
        <w:tc>
          <w:tcPr>
            <w:tcW w:type="dxa" w:w="6743"/>
          </w:tcPr>
          <w:p w:rsidRDefault="00476CD1" w:rsidP="002E5918" w:rsidR="00476CD1">
            <w:r>
              <w:t xml:space="preserve">Moves a single argument above the adjacent text by the integral number of points specified by </w:t>
            </w:r>
            <w:r>
              <w:t>text</w:t>
            </w:r>
            <w:r>
              <w:t xml:space="preserve"> in this switch's </w:t>
            </w:r>
            <w:r>
              <w:t>field-argument</w:t>
            </w:r>
            <w:r>
              <w:t>.</w:t>
            </w:r>
          </w:p>
        </w:tc>
      </w:tr>
    </w:tbl>
    <w:p w:rsidRDefault="00476CD1" w:rsidP="00476CD1" w:rsidR="00476CD1"/>
    <w:p w:rsidRDefault="00476CD1" w:rsidP="00476CD1" w:rsidR="00476CD1">
      <w:r>
        <w:t>\x</w:t>
      </w:r>
      <w:r>
        <w:t xml:space="preserve"> Creates one or more border segments around a single argument. By default, all four borders are added. </w:t>
      </w:r>
      <w:r>
        <w:t>eq-argument-list</w:t>
      </w:r>
      <w:r>
        <w:t xml:space="preserve"> shall have no arguments. The </w:t>
      </w:r>
      <w:r>
        <w:t>field-specific-switch</w:t>
      </w:r>
      <w:r>
        <w:t>es below may be used:</w:t>
      </w:r>
    </w:p>
    <w:tbl>
      <w:tblPr>
        <w:tblStyle w:val="IndentedElementTable"/>
        <w:tblW w:type="auto" w:w="0"/>
        <w:tblLook w:val="0480" w:noVBand="1" w:noHBand="0" w:lastColumn="0" w:firstColumn="1" w:lastRow="0" w:firstRow="0"/>
      </w:tblPr>
      <w:tblGrid>
        <w:gridCol w:w="2358"/>
        <w:gridCol w:w="6743"/>
      </w:tblGrid>
      <w:tr w:rsidTr="002E5918" w:rsidR="00476CD1">
        <w:tc>
          <w:tcPr>
            <w:tcW w:type="dxa" w:w="2358"/>
          </w:tcPr>
          <w:p w:rsidRDefault="00476CD1" w:rsidP="002E5918" w:rsidR="00476CD1">
            <w:r>
              <w:t>\bo</w:t>
            </w:r>
          </w:p>
        </w:tc>
        <w:tc>
          <w:tcPr>
            <w:tcW w:type="dxa" w:w="6743"/>
          </w:tcPr>
          <w:p w:rsidRDefault="00476CD1" w:rsidP="002E5918" w:rsidR="00476CD1">
            <w:r>
              <w:t xml:space="preserve">Draws a horizontal border below the argument. </w:t>
            </w:r>
          </w:p>
        </w:tc>
      </w:tr>
      <w:tr w:rsidTr="002E5918" w:rsidR="00476CD1">
        <w:tc>
          <w:tcPr>
            <w:tcW w:type="dxa" w:w="2358"/>
          </w:tcPr>
          <w:p w:rsidRDefault="00476CD1" w:rsidP="002E5918" w:rsidR="00476CD1">
            <w:r>
              <w:t>\le</w:t>
            </w:r>
          </w:p>
        </w:tc>
        <w:tc>
          <w:tcPr>
            <w:tcW w:type="dxa" w:w="6743"/>
          </w:tcPr>
          <w:p w:rsidRDefault="00476CD1" w:rsidP="002E5918" w:rsidR="00476CD1">
            <w:r>
              <w:t xml:space="preserve">Draws a vertical border to the left of the argument. </w:t>
            </w:r>
          </w:p>
        </w:tc>
      </w:tr>
      <w:tr w:rsidTr="002E5918" w:rsidR="00476CD1">
        <w:tc>
          <w:tcPr>
            <w:tcW w:type="dxa" w:w="2358"/>
          </w:tcPr>
          <w:p w:rsidRDefault="00476CD1" w:rsidP="002E5918" w:rsidR="00476CD1">
            <w:r>
              <w:t>\ri</w:t>
            </w:r>
          </w:p>
        </w:tc>
        <w:tc>
          <w:tcPr>
            <w:tcW w:type="dxa" w:w="6743"/>
          </w:tcPr>
          <w:p w:rsidRDefault="00476CD1" w:rsidP="002E5918" w:rsidR="00476CD1">
            <w:r>
              <w:t xml:space="preserve">Draws a vertical border to the right of the argument. </w:t>
            </w:r>
          </w:p>
        </w:tc>
      </w:tr>
      <w:tr w:rsidTr="002E5918" w:rsidR="00476CD1">
        <w:tc>
          <w:tcPr>
            <w:tcW w:type="dxa" w:w="2358"/>
          </w:tcPr>
          <w:p w:rsidRDefault="00476CD1" w:rsidP="002E5918" w:rsidR="00476CD1">
            <w:r>
              <w:t>\to</w:t>
            </w:r>
          </w:p>
        </w:tc>
        <w:tc>
          <w:tcPr>
            <w:tcW w:type="dxa" w:w="6743"/>
          </w:tcPr>
          <w:p w:rsidRDefault="00476CD1" w:rsidP="002E5918" w:rsidR="00476CD1">
            <w:r>
              <w:t xml:space="preserve">Draws a horizontal border above the argument. </w:t>
            </w:r>
          </w:p>
        </w:tc>
      </w:tr>
    </w:tbl>
    <w:p w:rsidRDefault="00476CD1" w:rsidP="00476CD1" w:rsidR="00476CD1"/>
    <w:p w:rsidRDefault="00476CD1" w:rsidP="00476CD1" w:rsidR="00476CD1">
      <w:r>
        <w:t>[</w:t>
      </w:r>
      <w:r>
        <w:t>Example</w:t>
      </w:r>
      <w:r>
        <w:t>: When the following fields are updated:</w:t>
      </w:r>
    </w:p>
    <w:p w:rsidRDefault="00476CD1" w:rsidP="00476CD1" w:rsidR="00476CD1">
      <w:r>
        <w:t xml:space="preserve">EQ \a \co 2 \ac \hs 10 ( 1000, </w:t>
      </w:r>
      <w:smartTag w:element="metricconverter" w:uri="urn:schemas-microsoft-com:office:smarttags">
        <w:smartTagPr>
          <w:attr w:val="20, A" w:name="ProductID"/>
        </w:smartTagPr>
        <w:r>
          <w:t>20, A</w:t>
        </w:r>
      </w:smartTag>
      <w:r>
        <w:t>, Sunday )</w:t>
      </w:r>
      <w:r>
        <w:br/>
      </w:r>
      <w:r>
        <w:t>EQ \b \bc \| ( -100 )  EQ \b \bc \| ( \r(</w:t>
      </w:r>
      <w:smartTag w:element="metricconverter" w:uri="urn:schemas-microsoft-com:office:smarttags">
        <w:smartTagPr>
          <w:attr w:val="3, a" w:name="ProductID"/>
        </w:smartTagPr>
        <w:r>
          <w:t>3, a</w:t>
        </w:r>
      </w:smartTag>
      <w:r>
        <w:t xml:space="preserve"> + b)</w:t>
      </w:r>
      <w:r>
        <w:br/>
      </w:r>
      <w:r>
        <w:t>xx EQ \d \fo 20 () xx EQ \d \fo 30 \li ()xx</w:t>
      </w:r>
      <w:r>
        <w:br/>
      </w:r>
      <w:r>
        <w:t>EQ \f ( 1, 32 )  EQ \f ( 7, 64 )</w:t>
      </w:r>
      <w:r>
        <w:br/>
      </w:r>
      <w:r>
        <w:t>EQ \i ( 0, ∞, x )  EQ \i \su \in ( 0, 10, x )  EQ \i \pr \in ( 0, 5, x )</w:t>
      </w:r>
      <w:r>
        <w:br/>
      </w:r>
      <w:r>
        <w:t>EQ \i \fc \{ ( 0, 5, \f (x, 0.34) )  EQ \i \vc \{ ( 0, 5, \f (x, 0.34) )</w:t>
      </w:r>
    </w:p>
    <w:p w:rsidRDefault="00476CD1" w:rsidP="00476CD1" w:rsidR="00476CD1">
      <w:r>
        <w:t>EQ \l ( 0, 10 )</w:t>
      </w:r>
      <w:r>
        <w:br/>
      </w:r>
      <w:r>
        <w:t>EQ \b \lc \[ \rc \) (\l (0, 10))</w:t>
      </w:r>
      <w:r>
        <w:br/>
      </w:r>
      <w:r>
        <w:t xml:space="preserve">EQ \o ( 0, 0, 0 )   EQ \o ( 0, + )  EQ \o \ar ( 0, |, _ ) </w:t>
      </w:r>
      <w:r>
        <w:br/>
      </w:r>
      <w:r>
        <w:t>EQ \r ( 2 )   EQ \r ( 2, x )</w:t>
      </w:r>
      <w:r>
        <w:br/>
      </w:r>
      <w:r>
        <w:t xml:space="preserve">a EQ \s \up (2) + </w:t>
      </w:r>
      <w:hyperlink r:id="rId14">
        <w:r>
          <w:rPr>
            <w:rStyle w:val="Hyperlink"/>
          </w:rPr>
          <w:t>b</w:t>
        </w:r>
      </w:hyperlink>
      <w:r>
        <w:t xml:space="preserve"> EQ \s \up (2)</w:t>
      </w:r>
      <w:r>
        <w:br/>
      </w:r>
      <w:r>
        <w:t xml:space="preserve">a EQ \x ( + ) </w:t>
      </w:r>
      <w:hyperlink r:id="rId14">
        <w:r>
          <w:rPr>
            <w:rStyle w:val="Hyperlink"/>
          </w:rPr>
          <w:t>b</w:t>
        </w:r>
      </w:hyperlink>
      <w:r>
        <w:t xml:space="preserve">  a EQ \x \to \le ( + ) </w:t>
      </w:r>
      <w:hyperlink r:id="rId14">
        <w:r>
          <w:rPr>
            <w:rStyle w:val="Hyperlink"/>
          </w:rPr>
          <w:t>b</w:t>
        </w:r>
      </w:hyperlink>
      <w:r>
        <w:t xml:space="preserve">  a EQ \x \bo \ri ( + ) </w:t>
      </w:r>
      <w:hyperlink r:id="rId14">
        <w:r>
          <w:rPr>
            <w:rStyle w:val="Hyperlink"/>
          </w:rPr>
          <w:t>b</w:t>
        </w:r>
      </w:hyperlink>
      <w:r>
        <w:t/>
      </w:r>
    </w:p>
    <w:p w:rsidRDefault="00476CD1" w:rsidP="00476CD1" w:rsidR="00476CD1">
      <w:r>
        <w:t>The results are:</w:t>
      </w:r>
    </w:p>
    <w:p w:rsidRDefault="00476CD1" w:rsidP="00476CD1" w:rsidR="00476CD1">
      <w:r>
        <w:fldChar w:fldCharType="begin"/>
      </w:r>
      <w:r>
        <w:instrText xml:space="preserve"> EQ \a \co 2 \ac \hs 10 ( 1000, 20, A, Sunday ) </w:instrText>
      </w:r>
      <w:r>
        <w:fldChar w:fldCharType="end"/>
      </w:r>
      <w:r>
        <w:br/>
      </w:r>
      <w:r>
        <w:fldChar w:fldCharType="begin"/>
      </w:r>
      <w:r>
        <w:instrText xml:space="preserve"> EQ \b \bc \| ( -100 ) </w:instrText>
      </w:r>
      <w:r>
        <w:fldChar w:fldCharType="end"/>
      </w:r>
      <w:r>
        <w:t xml:space="preserve">  </w:t>
      </w:r>
      <w:r>
        <w:fldChar w:fldCharType="begin"/>
      </w:r>
      <w:r>
        <w:instrText xml:space="preserve"> EQ \b \bc \| ( \r(3, a + b) ) </w:instrText>
      </w:r>
      <w:r>
        <w:fldChar w:fldCharType="end"/>
      </w:r>
    </w:p>
    <w:p w:rsidRDefault="00476CD1" w:rsidP="00476CD1" w:rsidR="00476CD1">
      <w:r>
        <w:t>xx</w:t>
      </w:r>
      <w:r>
        <w:fldChar w:fldCharType="begin"/>
      </w:r>
      <w:r>
        <w:instrText xml:space="preserve"> EQ \d \fo 20 () </w:instrText>
      </w:r>
      <w:r>
        <w:fldChar w:fldCharType="end"/>
      </w:r>
      <w:r>
        <w:t>xx</w:t>
      </w:r>
      <w:r>
        <w:fldChar w:fldCharType="begin"/>
      </w:r>
      <w:r>
        <w:instrText xml:space="preserve"> EQ \d \fo 30 \li () </w:instrText>
      </w:r>
      <w:r>
        <w:fldChar w:fldCharType="end"/>
      </w:r>
      <w:r>
        <w:t>xx</w:t>
      </w:r>
    </w:p>
    <w:p w:rsidRDefault="00476CD1" w:rsidP="00476CD1" w:rsidR="00476CD1">
      <w:r>
        <w:fldChar w:fldCharType="begin"/>
      </w:r>
      <w:r>
        <w:instrText xml:space="preserve"> EQ \f ( 1, 32 ) </w:instrText>
      </w:r>
      <w:r>
        <w:fldChar w:fldCharType="end"/>
      </w:r>
      <w:r>
        <w:t xml:space="preserve"> </w:t>
      </w:r>
      <w:r>
        <w:fldChar w:fldCharType="begin"/>
      </w:r>
      <w:r>
        <w:instrText xml:space="preserve"> EQ \f ( 7, 64 ) </w:instrText>
      </w:r>
      <w:r>
        <w:fldChar w:fldCharType="end"/>
      </w:r>
    </w:p>
    <w:p w:rsidRDefault="00476CD1" w:rsidP="00476CD1" w:rsidR="00476CD1">
      <w:r>
        <w:fldChar w:fldCharType="begin"/>
      </w:r>
      <w:r>
        <w:instrText xml:space="preserve"> EQ \i ( 0, ∞, x ) </w:instrText>
      </w:r>
      <w:r>
        <w:fldChar w:fldCharType="end"/>
      </w:r>
      <w:r>
        <w:t xml:space="preserve">  </w:t>
      </w:r>
      <w:r>
        <w:fldChar w:fldCharType="begin"/>
      </w:r>
      <w:r>
        <w:instrText xml:space="preserve"> EQ \i \su \in ( 0, 10, x ) </w:instrText>
      </w:r>
      <w:r>
        <w:fldChar w:fldCharType="end"/>
      </w:r>
      <w:r>
        <w:t xml:space="preserve">  </w:t>
      </w:r>
      <w:r>
        <w:fldChar w:fldCharType="begin"/>
      </w:r>
      <w:r>
        <w:instrText xml:space="preserve"> EQ \i \pr \in ( 0, 5, x ) </w:instrText>
      </w:r>
      <w:r>
        <w:fldChar w:fldCharType="end"/>
      </w:r>
    </w:p>
    <w:p w:rsidRDefault="00476CD1" w:rsidP="00476CD1" w:rsidR="00476CD1">
      <w:r>
        <w:fldChar w:fldCharType="begin"/>
      </w:r>
      <w:r>
        <w:instrText xml:space="preserve"> EQ \i \fc \{ ( 0, 5, \f (x, 0.34) ) </w:instrText>
      </w:r>
      <w:r>
        <w:fldChar w:fldCharType="end"/>
      </w:r>
      <w:r>
        <w:t xml:space="preserve">  </w:t>
      </w:r>
      <w:r>
        <w:fldChar w:fldCharType="begin"/>
      </w:r>
      <w:r>
        <w:instrText xml:space="preserve"> EQ \i \vc \{ ( 0, 5, \f (x, 0.34) ) </w:instrText>
      </w:r>
      <w:r>
        <w:fldChar w:fldCharType="end"/>
      </w:r>
    </w:p>
    <w:p w:rsidRDefault="00476CD1" w:rsidP="00476CD1" w:rsidR="00476CD1">
      <w:r>
        <w:fldChar w:fldCharType="begin"/>
      </w:r>
      <w:r>
        <w:instrText xml:space="preserve"> EQ \l ( 0, 10 ) </w:instrText>
      </w:r>
      <w:r>
        <w:fldChar w:fldCharType="end"/>
      </w:r>
      <w:r>
        <w:br/>
      </w:r>
      <w:r>
        <w:fldChar w:fldCharType="begin"/>
      </w:r>
      <w:r>
        <w:instrText xml:space="preserve"> EQ \b \lc \[ \rc \) (\l (0, 10)) </w:instrText>
      </w:r>
      <w:r>
        <w:fldChar w:fldCharType="end"/>
      </w:r>
    </w:p>
    <w:p w:rsidRDefault="00476CD1" w:rsidP="00476CD1" w:rsidR="00476CD1">
      <w:r>
        <w:br/>
      </w:r>
      <w:r>
        <w:fldChar w:fldCharType="begin"/>
      </w:r>
      <w:r>
        <w:instrText xml:space="preserve"> EQ \o ( 0, 0, 0 ) </w:instrText>
      </w:r>
      <w:r>
        <w:fldChar w:fldCharType="end"/>
      </w:r>
      <w:r>
        <w:t xml:space="preserve">  </w:t>
      </w:r>
      <w:r>
        <w:fldChar w:fldCharType="begin"/>
      </w:r>
      <w:r>
        <w:instrText xml:space="preserve"> EQ \o ( 0, + ) </w:instrText>
      </w:r>
      <w:r>
        <w:fldChar w:fldCharType="end"/>
      </w:r>
      <w:r>
        <w:t xml:space="preserve">  </w:t>
      </w:r>
      <w:r>
        <w:fldChar w:fldCharType="begin"/>
      </w:r>
      <w:r>
        <w:instrText xml:space="preserve"> EQ \o \ar ( 0, |, _ ) </w:instrText>
      </w:r>
      <w:r>
        <w:fldChar w:fldCharType="end"/>
      </w:r>
    </w:p>
    <w:p w:rsidRDefault="00476CD1" w:rsidP="00476CD1" w:rsidR="00476CD1">
      <w:r>
        <w:fldChar w:fldCharType="begin"/>
      </w:r>
      <w:r>
        <w:instrText xml:space="preserve"> EQ \r ( 2 ) </w:instrText>
      </w:r>
      <w:r>
        <w:fldChar w:fldCharType="end"/>
      </w:r>
      <w:r>
        <w:t xml:space="preserve">  </w:t>
      </w:r>
      <w:r>
        <w:fldChar w:fldCharType="begin"/>
      </w:r>
      <w:r>
        <w:instrText xml:space="preserve"> EQ \r ( 2, x ) </w:instrText>
      </w:r>
      <w:r>
        <w:fldChar w:fldCharType="end"/>
      </w:r>
      <w:r>
        <w:br/>
      </w:r>
      <w:r>
        <w:br/>
      </w:r>
      <w:r>
        <w:t>a</w:t>
      </w:r>
      <w:r>
        <w:fldChar w:fldCharType="begin"/>
      </w:r>
      <w:r>
        <w:instrText xml:space="preserve"> EQ \s \up (2) </w:instrText>
      </w:r>
      <w:r>
        <w:fldChar w:fldCharType="end"/>
      </w:r>
      <w:r>
        <w:t xml:space="preserve"> + </w:t>
      </w:r>
      <w:hyperlink r:id="rId14">
        <w:r>
          <w:rPr>
            <w:rStyle w:val="Hyperlink"/>
          </w:rPr>
          <w:t>b</w:t>
        </w:r>
      </w:hyperlink>
      <w:r>
        <w:t/>
      </w:r>
      <w:r>
        <w:fldChar w:fldCharType="begin"/>
      </w:r>
      <w:r>
        <w:instrText xml:space="preserve"> EQ \s \up (2) </w:instrText>
      </w:r>
      <w:r>
        <w:fldChar w:fldCharType="end"/>
      </w:r>
      <w:r>
        <w:br/>
      </w:r>
      <w:r>
        <w:br/>
      </w:r>
      <w:r>
        <w:t>a</w:t>
      </w:r>
      <w:r>
        <w:fldChar w:fldCharType="begin"/>
      </w:r>
      <w:r>
        <w:instrText xml:space="preserve"> EQ \x ( + ) </w:instrText>
      </w:r>
      <w:r>
        <w:fldChar w:fldCharType="end"/>
      </w:r>
      <w:r>
        <w:t/>
      </w:r>
      <w:hyperlink r:id="rId14">
        <w:r>
          <w:rPr>
            <w:rStyle w:val="Hyperlink"/>
          </w:rPr>
          <w:t>b</w:t>
        </w:r>
      </w:hyperlink>
      <w:r>
        <w:t xml:space="preserve">  a</w:t>
      </w:r>
      <w:r>
        <w:fldChar w:fldCharType="begin"/>
      </w:r>
      <w:r>
        <w:instrText xml:space="preserve"> EQ \x \to \le ( + ) </w:instrText>
      </w:r>
      <w:r>
        <w:fldChar w:fldCharType="end"/>
      </w:r>
      <w:r>
        <w:t/>
      </w:r>
      <w:hyperlink r:id="rId14">
        <w:r>
          <w:rPr>
            <w:rStyle w:val="Hyperlink"/>
          </w:rPr>
          <w:t>b</w:t>
        </w:r>
      </w:hyperlink>
      <w:r>
        <w:t xml:space="preserve">  a</w:t>
      </w:r>
      <w:r>
        <w:fldChar w:fldCharType="begin"/>
      </w:r>
      <w:r>
        <w:instrText xml:space="preserve"> EQ \x \bo \ri ( + ) </w:instrText>
      </w:r>
      <w:r>
        <w:fldChar w:fldCharType="end"/>
      </w:r>
      <w:r>
        <w:t/>
      </w:r>
      <w:hyperlink r:id="rId14">
        <w:r>
          <w:rPr>
            <w:rStyle w:val="Hyperlink"/>
          </w:rPr>
          <w:t>b</w:t>
        </w:r>
      </w:hyperlink>
      <w:r>
        <w:t/>
      </w:r>
    </w:p>
    <w:p w:rsidRDefault="00476CD1" w:rsidP="00476CD1" w:rsidR="00476CD1">
      <w:r>
        <w:t>end example</w:t>
      </w:r>
      <w:r>
        <w: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 w:numId="176">
    <w:abstractNumId w:val="4"/>
    <w:lvlOverride w:ilvl="0">
      <w:startOverride w:val="525"/>
    </w:lvlOverride>
  </w:num>
  <w:num w:numId="177">
    <w:abstractNumId w:val="4"/>
    <w:lvlOverride w:ilvl="0">
      <w:startOverride w:val="526"/>
    </w:lvlOverride>
  </w:num>
  <w:num w:numId="178">
    <w:abstractNumId w:val="4"/>
    <w:lvlOverride w:ilvl="0">
      <w:startOverride w:val="533"/>
    </w:lvlOverride>
  </w:num>
  <w:num w:numId="179">
    <w:abstractNumId w:val="4"/>
    <w:lvlOverride w:ilvl="0">
      <w:startOverride w:val="535"/>
    </w:lvlOverride>
  </w:num>
  <w:num w:numId="180">
    <w:abstractNumId w:val="4"/>
    <w:lvlOverride w:ilvl="0">
      <w:startOverride w:val="537"/>
    </w:lvlOverride>
  </w:num>
  <w:num w:numId="181">
    <w:abstractNumId w:val="4"/>
    <w:lvlOverride w:ilvl="0">
      <w:startOverride w:val="539"/>
    </w:lvlOverride>
  </w:num>
  <w:num w:numId="182">
    <w:abstractNumId w:val="4"/>
    <w:lvlOverride w:ilvl="0">
      <w:startOverride w:val="541"/>
    </w:lvlOverride>
  </w:num>
  <w:num w:numId="183">
    <w:abstractNumId w:val="4"/>
    <w:lvlOverride w:ilvl="0">
      <w:startOverride w:val="543"/>
    </w:lvlOverride>
  </w:num>
  <w:num w:numId="184">
    <w:abstractNumId w:val="4"/>
    <w:lvlOverride w:ilvl="0">
      <w:startOverride w:val="545"/>
    </w:lvlOverride>
  </w:num>
  <w:num w:numId="185">
    <w:abstractNumId w:val="4"/>
    <w:lvlOverride w:ilvl="0">
      <w:startOverride w:val="549"/>
    </w:lvlOverride>
  </w:num>
  <w:num w:numId="186">
    <w:abstractNumId w:val="4"/>
    <w:lvlOverride w:ilvl="0">
      <w:startOverride w:val="551"/>
    </w:lvlOverride>
  </w:num>
  <w:num w:numId="187">
    <w:abstractNumId w:val="4"/>
    <w:lvlOverride w:ilvl="0">
      <w:startOverride w:val="553"/>
    </w:lvlOverride>
  </w:num>
  <w:num w:numId="188">
    <w:abstractNumId w:val="4"/>
    <w:lvlOverride w:ilvl="0">
      <w:startOverride w:val="557"/>
    </w:lvlOverride>
  </w:num>
  <w:num w:numId="189">
    <w:abstractNumId w:val="4"/>
    <w:lvlOverride w:ilvl="0">
      <w:startOverride w:val="560"/>
    </w:lvlOverride>
  </w:num>
  <w:num w:numId="190">
    <w:abstractNumId w:val="6"/>
    <w:lvlOverride w:ilvl="0">
      <w:startOverride w:val="1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91">
    <w:abstractNumId w:val="4"/>
    <w:lvlOverride w:ilvl="0">
      <w:startOverride w:val="566"/>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separator.docx" TargetMode="External"/><Relationship Id="rId9" Type="http://schemas.openxmlformats.org/officeDocument/2006/relationships/hyperlink" Target="result.docx" TargetMode="External"/><Relationship Id="rId10" Type="http://schemas.openxmlformats.org/officeDocument/2006/relationships/hyperlink" Target="spacing.docx" TargetMode="External"/><Relationship Id="rId11" Type="http://schemas.openxmlformats.org/officeDocument/2006/relationships/hyperlink" Target="between.docx" TargetMode="External"/><Relationship Id="rId12" Type="http://schemas.openxmlformats.org/officeDocument/2006/relationships/hyperlink" Target="next.docx" TargetMode="External"/><Relationship Id="rId13" Type="http://schemas.openxmlformats.org/officeDocument/2006/relationships/hyperlink" Target="format.docx" TargetMode="External"/><Relationship Id="rId14" Type="http://schemas.openxmlformats.org/officeDocument/2006/relationships/hyperlink" Target="b.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