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474_1" w:id="100001"/>
      <w:bookmarkStart w:name="booka0cd222c-c82f-48f7-9ac6-b38f086b41b7_1" w:id="100002"/>
      <w:r>
        <w:t>ST_BrClear</w:t>
      </w:r>
      <w:r>
        <w:t xml:space="preserve"> (Line Break Text Wrapping Restart Location)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set of possible restart locations which may be used as to determine the </w:t>
      </w:r>
      <w:hyperlink r:id="rId9">
        <w:r>
          <w:rPr>
            <w:rStyle w:val="Hyperlink"/>
          </w:rPr>
          <w:t>next</w:t>
        </w:r>
      </w:hyperlink>
      <w:r>
        <w:t xml:space="preserve"> available line when a break’s </w:t>
      </w:r>
      <w:r>
        <w:t/>
      </w:r>
      <w:hyperlink r:id="rId8">
        <w:r>
          <w:rPr>
            <w:rStyle w:val="Hyperlink"/>
          </w:rPr>
          <w:t>type</w:t>
        </w:r>
      </w:hyperlink>
      <w:r>
        <w:t/>
      </w:r>
      <w:r>
        <w:t xml:space="preserve"> attribute has a value of </w:t>
      </w:r>
      <w:r>
        <w:t>textWrapping</w:t>
      </w:r>
      <w:r>
        <w:t xml:space="preserve">. This property only affects the restart location when the current run is being displayed on a line which does not span the full text extents due to the presence of a floating </w:t>
      </w:r>
      <w:hyperlink r:id="rId10">
        <w:r>
          <w:rPr>
            <w:rStyle w:val="Hyperlink"/>
          </w:rPr>
          <w:t>object</w:t>
        </w:r>
      </w:hyperlink>
      <w:r>
        <w:t xml:space="preserve"> (see enumeration values for details).</w:t>
      </w:r>
    </w:p>
    <w:p w:rsidRDefault="00476CD1" w:rsidP="00476CD1" w:rsidR="00476CD1">
      <w:r>
        <w:t>[</w:t>
      </w:r>
      <w:r>
        <w:t>Example</w:t>
      </w:r>
      <w:r>
        <w:t xml:space="preserve">: Consider a text wrapping break character which should force the restart location to the </w:t>
      </w:r>
      <w:hyperlink r:id="rId9">
        <w:r>
          <w:rPr>
            <w:rStyle w:val="Hyperlink"/>
          </w:rPr>
          <w:t>next</w:t>
        </w:r>
      </w:hyperlink>
      <w:r>
        <w:t xml:space="preserve"> line which spans the full width of the text extents of the page (there are no floating objects which interrupt the line).</w:t>
      </w:r>
    </w:p>
    <w:p w:rsidRDefault="00476CD1" w:rsidP="00476CD1" w:rsidR="00476CD1">
      <w:r>
        <w:t xml:space="preserve">This line break is of </w:t>
      </w:r>
      <w:hyperlink r:id="rId8">
        <w:r>
          <w:rPr>
            <w:rStyle w:val="Hyperlink"/>
          </w:rPr>
          <w:t>type</w:t>
        </w:r>
      </w:hyperlink>
      <w:r>
        <w:t xml:space="preserve"> </w:t>
      </w:r>
      <w:r>
        <w:t>textWrapping</w:t>
      </w:r>
      <w:r>
        <w:t xml:space="preserve">, since it shall only advance to the </w:t>
      </w:r>
      <w:hyperlink r:id="rId9">
        <w:r>
          <w:rPr>
            <w:rStyle w:val="Hyperlink"/>
          </w:rPr>
          <w:t>next</w:t>
        </w:r>
      </w:hyperlink>
      <w:r>
        <w:t xml:space="preserve"> line, but the </w:t>
      </w:r>
      <w:r>
        <w:t>clear</w:t>
      </w:r>
      <w:r>
        <w:t xml:space="preserve"> value shall specify that this restart location shall ignore all lines which are not of the full line width by specifying a value of </w:t>
      </w:r>
      <w:r>
        <w:t>all</w:t>
      </w:r>
      <w:r>
        <w:t>, as follows: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br</w:t>
        </w:r>
      </w:hyperlink>
      <w:r>
        <w:t xml:space="preserve"> w:</w:t>
      </w:r>
      <w:hyperlink r:id="rId8">
        <w:r>
          <w:rPr>
            <w:rStyle w:val="Hyperlink"/>
          </w:rPr>
          <w:t>type</w:t>
        </w:r>
      </w:hyperlink>
      <w:r>
        <w:t>="textWrapping" w:clear="all" /&gt;</w:t>
      </w:r>
    </w:p>
    <w:p w:rsidRDefault="00476CD1" w:rsidP="00476CD1" w:rsidR="00476CD1">
      <w:r>
        <w:t xml:space="preserve">This break shall therefore not use the </w:t>
      </w:r>
      <w:hyperlink r:id="rId9">
        <w:r>
          <w:rPr>
            <w:rStyle w:val="Hyperlink"/>
          </w:rPr>
          <w:t>next</w:t>
        </w:r>
      </w:hyperlink>
      <w:r>
        <w:t xml:space="preserve"> available line, but rather the </w:t>
      </w:r>
      <w:hyperlink r:id="rId9">
        <w:r>
          <w:rPr>
            <w:rStyle w:val="Hyperlink"/>
          </w:rPr>
          <w:t>next</w:t>
        </w:r>
      </w:hyperlink>
      <w:r>
        <w:t xml:space="preserve"> available line ignoring all lines which do not span the full text width.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2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all</w:t>
            </w:r>
            <w:r>
              <w:t xml:space="preserve"> (Restart On Next Full Line)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text wrapping break shall advance the text to the </w:t>
            </w:r>
            <w:hyperlink r:id="rId9">
              <w:r>
                <w:rPr>
                  <w:rStyle w:val="Hyperlink"/>
                </w:rPr>
                <w:t>next</w:t>
              </w:r>
            </w:hyperlink>
            <w:r>
              <w:t xml:space="preserve"> line in the WordprocessingML document which spans the full width of the line (i.e. the </w:t>
            </w:r>
            <w:hyperlink r:id="rId9">
              <w:r>
                <w:rPr>
                  <w:rStyle w:val="Hyperlink"/>
                </w:rPr>
                <w:t>next</w:t>
              </w:r>
            </w:hyperlink>
            <w:r>
              <w:t xml:space="preserve"> line which is not interrupted by any floating objects when those objects are positioned on the page at display time.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Note</w:t>
            </w:r>
            <w:r>
              <w:t xml:space="preserve">: This setting is typically used to place a single line of text </w:t>
            </w:r>
            <w:hyperlink r:id="rId9">
              <w:r>
                <w:rPr>
                  <w:rStyle w:val="Hyperlink"/>
                </w:rPr>
                <w:t>next</w:t>
              </w:r>
            </w:hyperlink>
            <w:r>
              <w:t xml:space="preserve"> to a floating </w:t>
            </w:r>
            <w:hyperlink r:id="rId10">
              <w:r>
                <w:rPr>
                  <w:rStyle w:val="Hyperlink"/>
                </w:rPr>
                <w:t>object</w:t>
              </w:r>
            </w:hyperlink>
            <w:r>
              <w:t xml:space="preserve"> for use as a caption. </w:t>
            </w:r>
            <w:r>
              <w:t>end note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left</w:t>
            </w:r>
            <w:r>
              <w:t xml:space="preserve"> (Restart In Next Text Region When In Leftmost Position)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text wrapping break shall behave as follows:</w:t>
            </w:r>
          </w:p>
          <w:p w:rsidRDefault="00476CD1" w:rsidP="002E5918" w:rsidR="00476CD1"/>
          <w:p w:rsidRDefault="00476CD1" w:rsidP="002E5918" w:rsidR="00476CD1">
            <w:r>
              <w:t xml:space="preserve">If this line is broken into multiple regions (a floating </w:t>
            </w:r>
            <w:hyperlink r:id="rId10">
              <w:r>
                <w:rPr>
                  <w:rStyle w:val="Hyperlink"/>
                </w:rPr>
                <w:t>object</w:t>
              </w:r>
            </w:hyperlink>
            <w:r>
              <w:t xml:space="preserve"> in the center of the page has text wrapping on both sides:</w:t>
            </w:r>
          </w:p>
          <w:p w:rsidRDefault="00476CD1" w:rsidP="002E5918" w:rsidR="00476CD1">
            <w:pPr>
              <w:pStyle w:val="ListBullet"/>
            </w:pPr>
            <w:r>
              <w:t xml:space="preserve">If this is the leftmost region of text flow on this line, advance the text to the </w:t>
            </w:r>
            <w:hyperlink r:id="rId9">
              <w:r>
                <w:rPr>
                  <w:rStyle w:val="Hyperlink"/>
                </w:rPr>
                <w:t>next</w:t>
              </w:r>
            </w:hyperlink>
            <w:r>
              <w:t xml:space="preserve"> </w:t>
            </w:r>
            <w:hyperlink r:id="rId13">
              <w:r>
                <w:rPr>
                  <w:rStyle w:val="Hyperlink"/>
                </w:rPr>
                <w:t>position</w:t>
              </w:r>
            </w:hyperlink>
            <w:r>
              <w:t xml:space="preserve"> on the line</w:t>
            </w:r>
          </w:p>
          <w:p w:rsidRDefault="00476CD1" w:rsidP="002E5918" w:rsidR="00476CD1">
            <w:pPr>
              <w:pStyle w:val="ListBullet"/>
            </w:pPr>
            <w:r>
              <w:t xml:space="preserve">Otherwise, treat this as a text wrapping break of </w:t>
            </w:r>
            <w:hyperlink r:id="rId8">
              <w:r>
                <w:rPr>
                  <w:rStyle w:val="Hyperlink"/>
                </w:rPr>
                <w:t>type</w:t>
              </w:r>
            </w:hyperlink>
            <w:r>
              <w:t xml:space="preserve"> </w:t>
            </w:r>
            <w:r>
              <w:t>all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If this line is not broken into multiple regions, then treat this break as a text wrapping break of </w:t>
            </w:r>
            <w:hyperlink r:id="rId8">
              <w:r>
                <w:rPr>
                  <w:rStyle w:val="Hyperlink"/>
                </w:rPr>
                <w:t>type</w:t>
              </w:r>
            </w:hyperlink>
            <w:r>
              <w:t xml:space="preserve"> </w:t>
            </w:r>
            <w:r>
              <w:t>none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If the parent paragraph is right to left, then these </w:t>
            </w:r>
            <w:hyperlink r:id="rId14">
              <w:r>
                <w:rPr>
                  <w:rStyle w:val="Hyperlink"/>
                </w:rPr>
                <w:t>behaviors</w:t>
              </w:r>
            </w:hyperlink>
            <w:r>
              <w:t xml:space="preserve"> are also reversed.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Note</w:t>
            </w:r>
            <w:r>
              <w:t xml:space="preserve">: This break </w:t>
            </w:r>
            <w:hyperlink r:id="rId8">
              <w:r>
                <w:rPr>
                  <w:rStyle w:val="Hyperlink"/>
                </w:rPr>
                <w:t>type</w:t>
              </w:r>
            </w:hyperlink>
            <w:r>
              <w:t xml:space="preserve"> is used to </w:t>
            </w:r>
            <w:hyperlink r:id="rId15">
              <w:r>
                <w:rPr>
                  <w:rStyle w:val="Hyperlink"/>
                </w:rPr>
                <w:t>control</w:t>
              </w:r>
            </w:hyperlink>
            <w:r>
              <w:t xml:space="preserve"> the text wrapping on the left side of a floating image without preventing text from appearing on the opposite side. </w:t>
            </w:r>
            <w:r>
              <w:t>end note</w:t>
            </w:r>
            <w:r>
              <w:t>]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none</w:t>
            </w:r>
            <w:r>
              <w:t xml:space="preserve"> (Restart On Next Line)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text wrapping break shall advance the text to the </w:t>
            </w:r>
            <w:hyperlink r:id="rId9">
              <w:r>
                <w:rPr>
                  <w:rStyle w:val="Hyperlink"/>
                </w:rPr>
                <w:t>next</w:t>
              </w:r>
            </w:hyperlink>
            <w:r>
              <w:t xml:space="preserve"> line in the WordprocessingML document, regardless of its </w:t>
            </w:r>
            <w:hyperlink r:id="rId13">
              <w:r>
                <w:rPr>
                  <w:rStyle w:val="Hyperlink"/>
                </w:rPr>
                <w:t>position</w:t>
              </w:r>
            </w:hyperlink>
            <w:r>
              <w:t xml:space="preserve"> left to right or the presence of any floating objects which intersect with the line,</w:t>
            </w:r>
          </w:p>
          <w:p w:rsidRDefault="00476CD1" w:rsidP="002E5918" w:rsidR="00476CD1"/>
          <w:p w:rsidRDefault="00476CD1" w:rsidP="002E5918" w:rsidR="00476CD1">
            <w:r>
              <w:t>This is the setting for a typical line break in a document.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right</w:t>
            </w:r>
            <w:r>
              <w:t xml:space="preserve"> (Restart In Next Text Region When In Rightmost Position)</w:t>
            </w:r>
          </w:p>
        </w:tc>
        <w:tc>
          <w:tcPr>
            <w:tcW w:type="pct" w:w="2500"/>
          </w:tcPr>
          <w:p w:rsidRDefault="00476CD1" w:rsidP="002E5918" w:rsidR="00476CD1">
            <w:r>
              <w:t>Specifies that the text wrapping break shall behave as follows:</w:t>
            </w:r>
          </w:p>
          <w:p w:rsidRDefault="00476CD1" w:rsidP="002E5918" w:rsidR="00476CD1"/>
          <w:p w:rsidRDefault="00476CD1" w:rsidP="002E5918" w:rsidR="00476CD1">
            <w:r>
              <w:t xml:space="preserve">If this line is broken into multiple regions (a floating </w:t>
            </w:r>
            <w:hyperlink r:id="rId10">
              <w:r>
                <w:rPr>
                  <w:rStyle w:val="Hyperlink"/>
                </w:rPr>
                <w:t>object</w:t>
              </w:r>
            </w:hyperlink>
            <w:r>
              <w:t xml:space="preserve"> in the center of the page has text wrapping on both sides:</w:t>
            </w:r>
          </w:p>
          <w:p w:rsidRDefault="00476CD1" w:rsidP="002E5918" w:rsidR="00476CD1">
            <w:pPr>
              <w:pStyle w:val="ListBullet"/>
            </w:pPr>
            <w:r>
              <w:t xml:space="preserve">If this is the rightmost region of text flow on this line, advance the text to the </w:t>
            </w:r>
            <w:hyperlink r:id="rId9">
              <w:r>
                <w:rPr>
                  <w:rStyle w:val="Hyperlink"/>
                </w:rPr>
                <w:t>next</w:t>
              </w:r>
            </w:hyperlink>
            <w:r>
              <w:t xml:space="preserve"> </w:t>
            </w:r>
            <w:hyperlink r:id="rId13">
              <w:r>
                <w:rPr>
                  <w:rStyle w:val="Hyperlink"/>
                </w:rPr>
                <w:t>position</w:t>
              </w:r>
            </w:hyperlink>
            <w:r>
              <w:t xml:space="preserve"> on the </w:t>
            </w:r>
            <w:hyperlink r:id="rId9">
              <w:r>
                <w:rPr>
                  <w:rStyle w:val="Hyperlink"/>
                </w:rPr>
                <w:t>next</w:t>
              </w:r>
            </w:hyperlink>
            <w:r>
              <w:t xml:space="preserve"> line</w:t>
            </w:r>
          </w:p>
          <w:p w:rsidRDefault="00476CD1" w:rsidP="002E5918" w:rsidR="00476CD1">
            <w:pPr>
              <w:pStyle w:val="ListBullet"/>
            </w:pPr>
            <w:r>
              <w:t xml:space="preserve">Otherwise, treat this as a text wrapping break of </w:t>
            </w:r>
            <w:hyperlink r:id="rId8">
              <w:r>
                <w:rPr>
                  <w:rStyle w:val="Hyperlink"/>
                </w:rPr>
                <w:t>type</w:t>
              </w:r>
            </w:hyperlink>
            <w:r>
              <w:t xml:space="preserve"> </w:t>
            </w:r>
            <w:r>
              <w:t>all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If this line is not broken into multiple regions, then treat this break as a text wrapping break of </w:t>
            </w:r>
            <w:hyperlink r:id="rId8">
              <w:r>
                <w:rPr>
                  <w:rStyle w:val="Hyperlink"/>
                </w:rPr>
                <w:t>type</w:t>
              </w:r>
            </w:hyperlink>
            <w:r>
              <w:t xml:space="preserve"> </w:t>
            </w:r>
            <w:r>
              <w:t>none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If the parent paragraph is right to left, then these </w:t>
            </w:r>
            <w:hyperlink r:id="rId14">
              <w:r>
                <w:rPr>
                  <w:rStyle w:val="Hyperlink"/>
                </w:rPr>
                <w:t>behaviors</w:t>
              </w:r>
            </w:hyperlink>
            <w:r>
              <w:t xml:space="preserve"> are also reversed.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Note</w:t>
            </w:r>
            <w:r>
              <w:t xml:space="preserve">: This break </w:t>
            </w:r>
            <w:hyperlink r:id="rId8">
              <w:r>
                <w:rPr>
                  <w:rStyle w:val="Hyperlink"/>
                </w:rPr>
                <w:t>type</w:t>
              </w:r>
            </w:hyperlink>
            <w:r>
              <w:t xml:space="preserve"> is used to </w:t>
            </w:r>
            <w:hyperlink r:id="rId15">
              <w:r>
                <w:rPr>
                  <w:rStyle w:val="Hyperlink"/>
                </w:rPr>
                <w:t>control</w:t>
              </w:r>
            </w:hyperlink>
            <w:r>
              <w:t xml:space="preserve"> the text wrapping on the right side of a floating image without preventing text from appearing on the opposite side. </w:t>
            </w:r>
            <w:r>
              <w:t>end note</w:t>
            </w:r>
            <w:r>
              <w:t>]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br@clear</w:t>
            </w:r>
            <w:r>
              <w:t xml:space="preserve"> (§</w:t>
            </w:r>
            <w:fldSimple w:instr="REF booke38496ee-64da-4993-903b-bf8da0acb05b \r \h">
              <w:r>
                <w:t>2.3.3.1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6">
        <w:r>
          <w:rPr>
            <w:rStyle w:val="Hyperlink"/>
          </w:rPr>
          <w:t>name</w:t>
        </w:r>
      </w:hyperlink>
      <w:r>
        <w:t>="ST_BrClear"&gt;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value="none"/&gt;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</w:t>
      </w:r>
      <w:hyperlink r:id="rId17">
        <w:r>
          <w:rPr>
            <w:rStyle w:val="Hyperlink"/>
          </w:rPr>
          <w:t>left</w:t>
        </w:r>
      </w:hyperlink>
      <w:r>
        <w:t>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</w:t>
      </w:r>
      <w:hyperlink r:id="rId18">
        <w:r>
          <w:rPr>
            <w:rStyle w:val="Hyperlink"/>
          </w:rPr>
          <w:t>right</w:t>
        </w:r>
      </w:hyperlink>
      <w:r>
        <w:t>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value="all"/&gt;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next.docx" TargetMode="External"/><Relationship Id="rId10" Type="http://schemas.openxmlformats.org/officeDocument/2006/relationships/hyperlink" Target="object.docx" TargetMode="External"/><Relationship Id="rId11" Type="http://schemas.openxmlformats.org/officeDocument/2006/relationships/hyperlink" Target="br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position.docx" TargetMode="External"/><Relationship Id="rId14" Type="http://schemas.openxmlformats.org/officeDocument/2006/relationships/hyperlink" Target="behaviors.docx" TargetMode="External"/><Relationship Id="rId15" Type="http://schemas.openxmlformats.org/officeDocument/2006/relationships/hyperlink" Target="control.docx" TargetMode="External"/><Relationship Id="rId16" Type="http://schemas.openxmlformats.org/officeDocument/2006/relationships/hyperlink" Target="name.docx" TargetMode="External"/><Relationship Id="rId17" Type="http://schemas.openxmlformats.org/officeDocument/2006/relationships/hyperlink" Target="left.docx" TargetMode="External"/><Relationship Id="rId18" Type="http://schemas.openxmlformats.org/officeDocument/2006/relationships/hyperlink" Target="right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