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6_1" w:id="100001"/>
      <w:bookmarkStart w:name="book94535383-20e3-4574-9dc9-3bf8a9a6c1ad_1" w:id="100002"/>
      <w:r>
        <w:t>ST_EighthPointMeasure</w:t>
      </w:r>
      <w:r>
        <w:t xml:space="preserve"> (Measurement in Eighths of a Point)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whole number, whose contents consist of a measurement in eighths of a point (equivalent to 1/576th of an inch).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an attribute value of </w:t>
      </w:r>
      <w:r>
        <w:t>24</w:t>
      </w:r>
      <w:r>
        <w:t xml:space="preserve"> whose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>ST_EighthPointMeasure</w:t>
      </w:r>
      <w:r>
        <w:t>. This attribute value specifies a size in eighths of a point (</w:t>
      </w:r>
      <w:r>
        <w:t>24</w:t>
      </w:r>
      <w:r>
        <w:t xml:space="preserve"> eighths of a point = 3 points).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r>
        <w:t/>
      </w:r>
      <w:hyperlink r:id="rId10">
        <w:r>
          <w:rPr>
            <w:rStyle w:val="Hyperlink"/>
          </w:rPr>
          <w:t>ST_UnsignedDecimalNumber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399f1838-3823-419c-b64f-a729c963d67a \r \h">
        <w:r>
          <w:t>2.18.108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bar@sz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bdr@sz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between@sz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bottom@sz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bottom@sz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bottom@sz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bottom@sz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bottom@sz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insideH@sz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insideH@sz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insideV@sz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insideV@sz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left@sz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left@sz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left@sz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left@sz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left@sz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right@sz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right@sz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right@sz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right@sz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right@sz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tl2br@sz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top@sz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top@sz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top@sz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top@sz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top@sz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tr2bl@sz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="ST_EighthPointMeasure"&gt;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</w:t>
      </w:r>
      <w:hyperlink r:id="rId10">
        <w:r>
          <w:rPr>
            <w:rStyle w:val="Hyperlink"/>
          </w:rPr>
          <w:t>ST_UnsignedDecimalNumber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UnsignedDecimalNumber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