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2_1" w:id="100001"/>
      <w:bookmarkStart w:name="book02b12409-10c9-4ab2-87ce-085b0c853b78_1" w:id="100002"/>
      <w:r>
        <w:t>ST_FldCharType</w:t>
      </w:r>
      <w:r>
        <w:t xml:space="preserve"> (Complex Field Character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</w:t>
      </w:r>
      <w:hyperlink r:id="rId8">
        <w:r>
          <w:rPr>
            <w:rStyle w:val="Hyperlink"/>
          </w:rPr>
          <w:t>type</w:t>
        </w:r>
      </w:hyperlink>
      <w:r>
        <w:t xml:space="preserve"> of a single complex field character in the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for a complex field character:</w:t>
      </w:r>
    </w:p>
    <w:p w:rsidRDefault="00476CD1" w:rsidP="00476CD1" w:rsidR="00476CD1">
      <w:pPr>
        <w:pStyle w:val="c"/>
      </w:pPr>
      <w:r>
        <w:t>…</w:t>
      </w:r>
      <w:r>
        <w:br/>
      </w:r>
      <w:r>
        <w:t>&lt;w:</w:t>
      </w:r>
      <w:hyperlink r:id="rId9">
        <w:r>
          <w:rPr>
            <w:rStyle w:val="Hyperlink"/>
          </w:rPr>
          <w:t>fldChar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="separate" /&gt;</w:t>
      </w:r>
      <w:r>
        <w:br/>
      </w:r>
      <w:r>
        <w:t>…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separate</w:t>
      </w:r>
      <w:r>
        <w:t xml:space="preserve"> specifies that this is a complex field </w:t>
      </w:r>
      <w:hyperlink r:id="rId10">
        <w:r>
          <w:rPr>
            <w:rStyle w:val="Hyperlink"/>
          </w:rPr>
          <w:t>separator</w:t>
        </w:r>
      </w:hyperlink>
      <w:r>
        <w:t xml:space="preserve"> character; therefore it is being used to separate the field codes from the field contents in a complex field.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begin</w:t>
            </w:r>
            <w:r>
              <w:t xml:space="preserve"> (Start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character is a </w:t>
            </w:r>
            <w:hyperlink r:id="rId12">
              <w:r>
                <w:rPr>
                  <w:rStyle w:val="Hyperlink"/>
                </w:rPr>
                <w:t>start</w:t>
              </w:r>
            </w:hyperlink>
            <w:r>
              <w:t xml:space="preserve"> character, which defines the </w:t>
            </w:r>
            <w:hyperlink r:id="rId12">
              <w:r>
                <w:rPr>
                  <w:rStyle w:val="Hyperlink"/>
                </w:rPr>
                <w:t>start</w:t>
              </w:r>
            </w:hyperlink>
            <w:r>
              <w:t xml:space="preserve"> of a complex field.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end</w:t>
            </w:r>
            <w:r>
              <w:t xml:space="preserve"> (End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character is an end character, which defines the end of a complex field.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separate</w:t>
            </w:r>
            <w:r>
              <w:t xml:space="preserve"> (Separator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character is a </w:t>
            </w:r>
            <w:hyperlink r:id="rId10">
              <w:r>
                <w:rPr>
                  <w:rStyle w:val="Hyperlink"/>
                </w:rPr>
                <w:t>separator</w:t>
              </w:r>
            </w:hyperlink>
            <w:r>
              <w:t xml:space="preserve"> character, which defines the end of the field codes and the </w:t>
            </w:r>
            <w:hyperlink r:id="rId12">
              <w:r>
                <w:rPr>
                  <w:rStyle w:val="Hyperlink"/>
                </w:rPr>
                <w:t>start</w:t>
              </w:r>
            </w:hyperlink>
            <w:r>
              <w:t xml:space="preserve"> of the field </w:t>
            </w:r>
            <w:hyperlink r:id="rId13">
              <w:r>
                <w:rPr>
                  <w:rStyle w:val="Hyperlink"/>
                </w:rPr>
                <w:t>result</w:t>
              </w:r>
            </w:hyperlink>
            <w:r>
              <w:t xml:space="preserve"> for a complex field.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fldChar@fldCharType</w:t>
            </w:r>
            <w:r>
              <w:t xml:space="preserve"> (§</w:t>
            </w:r>
            <w:fldSimple w:instr="REF book515823b1-89c3-44de-a098-f8b35aaa59fe \r \h">
              <w:r>
                <w:t>2.16.18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="ST_FldCharType"&gt;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value="begin"/&gt;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value="separate"/&gt;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value="end"/&gt;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ldChar.docx" TargetMode="External"/><Relationship Id="rId10" Type="http://schemas.openxmlformats.org/officeDocument/2006/relationships/hyperlink" Target="separato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art.docx" TargetMode="External"/><Relationship Id="rId13" Type="http://schemas.openxmlformats.org/officeDocument/2006/relationships/hyperlink" Target="result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