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60.wmf" ContentType="image/x-w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506_1" w:id="100001"/>
      <w:bookmarkStart w:name="book855ed670-3e8d-4e5d-be66-996a1e0579a4_1" w:id="100002"/>
      <w:r>
        <w:t>ST_FtnEdn</w:t>
      </w:r>
      <w:r>
        <w:t xml:space="preserve"> (Footnote or Endnote Type)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9">
        <w:r>
          <w:rPr>
            <w:rStyle w:val="Hyperlink"/>
          </w:rPr>
          <w:t>type</w:t>
        </w:r>
      </w:hyperlink>
      <w:r>
        <w:t xml:space="preserve"> specifies the possible types of </w:t>
      </w:r>
      <w:hyperlink r:id="rId10">
        <w:r>
          <w:rPr>
            <w:rStyle w:val="Hyperlink"/>
          </w:rPr>
          <w:t>footnotes</w:t>
        </w:r>
      </w:hyperlink>
      <w:r>
        <w:t xml:space="preserve"> and </w:t>
      </w:r>
      <w:hyperlink r:id="rId11">
        <w:r>
          <w:rPr>
            <w:rStyle w:val="Hyperlink"/>
          </w:rPr>
          <w:t>endnotes</w:t>
        </w:r>
      </w:hyperlink>
      <w:r>
        <w:t xml:space="preserve"> which may be specified in a WordprocessingML document.</w:t>
      </w:r>
    </w:p>
    <w:p w:rsidRDefault="00476CD1" w:rsidP="00476CD1" w:rsidR="00476CD1">
      <w:r>
        <w:t>[</w:t>
      </w:r>
      <w:r>
        <w:t>Example</w:t>
      </w:r>
      <w:r>
        <w:t xml:space="preserve">: Consider a document with a single </w:t>
      </w:r>
      <w:hyperlink r:id="rId12">
        <w:r>
          <w:rPr>
            <w:rStyle w:val="Hyperlink"/>
          </w:rPr>
          <w:t>footnote</w:t>
        </w:r>
      </w:hyperlink>
      <w:r>
        <w:t xml:space="preserve"> at the bottom of the first page. This </w:t>
      </w:r>
      <w:hyperlink r:id="rId12">
        <w:r>
          <w:rPr>
            <w:rStyle w:val="Hyperlink"/>
          </w:rPr>
          <w:t>footnote</w:t>
        </w:r>
      </w:hyperlink>
      <w:r>
        <w:t xml:space="preserve"> shall be separated from the text by the </w:t>
      </w:r>
      <w:r>
        <w:t/>
      </w:r>
      <w:hyperlink r:id="rId13">
        <w:r>
          <w:rPr>
            <w:rStyle w:val="Hyperlink"/>
          </w:rPr>
          <w:t>separator</w:t>
        </w:r>
      </w:hyperlink>
      <w:r>
        <w:t/>
      </w:r>
      <w:r>
        <w:t xml:space="preserve"> </w:t>
      </w:r>
      <w:hyperlink r:id="rId12">
        <w:r>
          <w:rPr>
            <w:rStyle w:val="Hyperlink"/>
          </w:rPr>
          <w:t>footnote</w:t>
        </w:r>
      </w:hyperlink>
      <w:r>
        <w:t xml:space="preserve"> (the </w:t>
      </w:r>
      <w:hyperlink r:id="rId12">
        <w:r>
          <w:rPr>
            <w:rStyle w:val="Hyperlink"/>
          </w:rPr>
          <w:t>footnote</w:t>
        </w:r>
      </w:hyperlink>
      <w:r>
        <w:t xml:space="preserve"> explicitly used to separate text from the </w:t>
      </w:r>
      <w:hyperlink r:id="rId12">
        <w:r>
          <w:rPr>
            <w:rStyle w:val="Hyperlink"/>
          </w:rPr>
          <w:t>footnote</w:t>
        </w:r>
      </w:hyperlink>
      <w:r>
        <w:t xml:space="preserve"> list (circled in red below):</w:t>
      </w:r>
    </w:p>
    <w:p w:rsidRDefault="00476CD1" w:rsidP="00476CD1" w:rsidR="00476CD1">
      <w:r>
        <w:drawing>
          <wp:inline distR="0" distL="0" distB="0" distT="0">
            <wp:extent cy="2479040" cx="1951355"/>
            <wp:effectExtent b="0" r="0" t="0" l="0"/>
            <wp:docPr name="Picture 6" id="7519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479040" cx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</w:t>
      </w:r>
      <w:hyperlink r:id="rId12">
        <w:r>
          <w:rPr>
            <w:rStyle w:val="Hyperlink"/>
          </w:rPr>
          <w:t>footnote</w:t>
        </w:r>
      </w:hyperlink>
      <w:r>
        <w:t xml:space="preserve"> </w:t>
      </w:r>
      <w:hyperlink r:id="rId9">
        <w:r>
          <w:rPr>
            <w:rStyle w:val="Hyperlink"/>
          </w:rPr>
          <w:t>type</w:t>
        </w:r>
      </w:hyperlink>
      <w:r>
        <w:t xml:space="preserve"> would be declared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footnote</w:t>
        </w:r>
      </w:hyperlink>
      <w:r>
        <w:t xml:space="preserve"> w: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separator</w:t>
        </w:r>
      </w:hyperlink>
      <w:r>
        <w:t>" w:</w:t>
      </w:r>
      <w:hyperlink r:id="rId14">
        <w:r>
          <w:rPr>
            <w:rStyle w:val="Hyperlink"/>
          </w:rPr>
          <w:t>id</w:t>
        </w:r>
      </w:hyperlink>
      <w:r>
        <w:t>="0"&gt;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2">
        <w:r>
          <w:rPr>
            <w:rStyle w:val="Hyperlink"/>
          </w:rPr>
          <w:t>footnote</w:t>
        </w:r>
      </w:hyperlink>
      <w:r>
        <w:t xml:space="preserve">&gt; </w:t>
      </w:r>
    </w:p>
    <w:p w:rsidRDefault="00476CD1" w:rsidP="00476CD1" w:rsidR="00476CD1">
      <w:r>
        <w:t xml:space="preserve">In this example, the </w:t>
      </w:r>
      <w:hyperlink r:id="rId12">
        <w:r>
          <w:rPr>
            <w:rStyle w:val="Hyperlink"/>
          </w:rPr>
          <w:t>footnote</w:t>
        </w:r>
      </w:hyperlink>
      <w:r>
        <w:t xml:space="preserve"> has a </w:t>
      </w:r>
      <w:r>
        <w:t/>
      </w:r>
      <w:hyperlink r:id="rId9">
        <w:r>
          <w:rPr>
            <w:rStyle w:val="Hyperlink"/>
          </w:rPr>
          <w:t>type</w:t>
        </w:r>
      </w:hyperlink>
      <w:r>
        <w:t/>
      </w:r>
      <w:r>
        <w:t xml:space="preserve"> value of </w:t>
      </w:r>
      <w:r>
        <w:t/>
      </w:r>
      <w:hyperlink r:id="rId13">
        <w:r>
          <w:rPr>
            <w:rStyle w:val="Hyperlink"/>
          </w:rPr>
          <w:t>separator</w:t>
        </w:r>
      </w:hyperlink>
      <w:r>
        <w:t/>
      </w:r>
      <w:r>
        <w:t xml:space="preserve">, specifies when this </w:t>
      </w:r>
      <w:hyperlink r:id="rId12">
        <w:r>
          <w:rPr>
            <w:rStyle w:val="Hyperlink"/>
          </w:rPr>
          <w:t>footnote</w:t>
        </w:r>
      </w:hyperlink>
      <w:r>
        <w:t xml:space="preserve"> shall be used.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5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continuationNotice</w:t>
            </w:r>
            <w:r>
              <w:t xml:space="preserve"> (Continuation Notice Separator)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</w:t>
            </w:r>
            <w:hyperlink r:id="rId12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6">
              <w:r>
                <w:rPr>
                  <w:rStyle w:val="Hyperlink"/>
                </w:rPr>
                <w:t>endnote</w:t>
              </w:r>
            </w:hyperlink>
            <w:r>
              <w:t xml:space="preserve"> is a continuation notice </w:t>
            </w:r>
            <w:hyperlink r:id="rId12">
              <w:r>
                <w:rPr>
                  <w:rStyle w:val="Hyperlink"/>
                </w:rPr>
                <w:t>footnote</w:t>
              </w:r>
            </w:hyperlink>
            <w:r>
              <w:t xml:space="preserve"> or endnote.</w:t>
            </w:r>
          </w:p>
          <w:p w:rsidRDefault="00476CD1" w:rsidP="002E5918" w:rsidR="00476CD1"/>
          <w:p w:rsidRDefault="00476CD1" w:rsidP="002E5918" w:rsidR="00476CD1">
            <w:r>
              <w:t xml:space="preserve">Continuation notice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and </w:t>
            </w:r>
            <w:hyperlink r:id="rId11">
              <w:r>
                <w:rPr>
                  <w:rStyle w:val="Hyperlink"/>
                </w:rPr>
                <w:t>endnotes</w:t>
              </w:r>
            </w:hyperlink>
            <w:r>
              <w:t/>
            </w:r>
            <w:r>
              <w:t xml:space="preserve"> are used when the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or </w:t>
            </w:r>
            <w:hyperlink r:id="rId11">
              <w:r>
                <w:rPr>
                  <w:rStyle w:val="Hyperlink"/>
                </w:rPr>
                <w:t>endnotes</w:t>
              </w:r>
            </w:hyperlink>
            <w:r>
              <w:t xml:space="preserve"> exceed the length allowed on a single page. When this happens, this </w:t>
            </w:r>
            <w:hyperlink r:id="rId12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6">
              <w:r>
                <w:rPr>
                  <w:rStyle w:val="Hyperlink"/>
                </w:rPr>
                <w:t>endnote</w:t>
              </w:r>
            </w:hyperlink>
            <w:r>
              <w:t xml:space="preserve"> shall be placed on the bottom of each page where the note shall continue to indicate that fact to the reader.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continuationSeparator</w:t>
              </w:r>
            </w:hyperlink>
            <w:r>
              <w:t/>
            </w:r>
            <w:r>
              <w:t xml:space="preserve"> (Continuation Separator)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</w:t>
            </w:r>
            <w:hyperlink r:id="rId12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6">
              <w:r>
                <w:rPr>
                  <w:rStyle w:val="Hyperlink"/>
                </w:rPr>
                <w:t>endnote</w:t>
              </w:r>
            </w:hyperlink>
            <w:r>
              <w:t xml:space="preserve"> is a continuation </w:t>
            </w:r>
            <w:hyperlink r:id="rId13">
              <w:r>
                <w:rPr>
                  <w:rStyle w:val="Hyperlink"/>
                </w:rPr>
                <w:t>separator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footnote</w:t>
              </w:r>
            </w:hyperlink>
            <w:r>
              <w:t xml:space="preserve"> or endnote.</w:t>
            </w:r>
          </w:p>
          <w:p w:rsidRDefault="00476CD1" w:rsidP="002E5918" w:rsidR="00476CD1"/>
          <w:p w:rsidRDefault="00476CD1" w:rsidP="002E5918" w:rsidR="00476CD1">
            <w:r>
              <w:t xml:space="preserve">Continuation </w:t>
            </w:r>
            <w:hyperlink r:id="rId13">
              <w:r>
                <w:rPr>
                  <w:rStyle w:val="Hyperlink"/>
                </w:rPr>
                <w:t>separator</w:t>
              </w:r>
            </w:hyperlink>
            <w:r>
              <w:t xml:space="preserve">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and </w:t>
            </w:r>
            <w:hyperlink r:id="rId11">
              <w:r>
                <w:rPr>
                  <w:rStyle w:val="Hyperlink"/>
                </w:rPr>
                <w:t>endnotes</w:t>
              </w:r>
            </w:hyperlink>
            <w:r>
              <w:t/>
            </w:r>
            <w:r>
              <w:t xml:space="preserve"> are used when the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or </w:t>
            </w:r>
            <w:hyperlink r:id="rId11">
              <w:r>
                <w:rPr>
                  <w:rStyle w:val="Hyperlink"/>
                </w:rPr>
                <w:t>endnotes</w:t>
              </w:r>
            </w:hyperlink>
            <w:r>
              <w:t xml:space="preserve"> exceed the length allowed on a single page. When this happens, this </w:t>
            </w:r>
            <w:hyperlink r:id="rId12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6">
              <w:r>
                <w:rPr>
                  <w:rStyle w:val="Hyperlink"/>
                </w:rPr>
                <w:t>endnote</w:t>
              </w:r>
            </w:hyperlink>
            <w:r>
              <w:t xml:space="preserve"> shall be placed </w:t>
            </w:r>
            <w:hyperlink r:id="rId18">
              <w:r>
                <w:rPr>
                  <w:rStyle w:val="Hyperlink"/>
                </w:rPr>
                <w:t>between</w:t>
              </w:r>
            </w:hyperlink>
            <w:r>
              <w:t xml:space="preserve"> the main text contents and the continued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>/</w:t>
            </w:r>
            <w:hyperlink r:id="rId11">
              <w:r>
                <w:rPr>
                  <w:rStyle w:val="Hyperlink"/>
                </w:rPr>
                <w:t>endnotes</w:t>
              </w:r>
            </w:hyperlink>
            <w:r>
              <w:t xml:space="preserve"> on all subsequent pages of the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normal</w:t>
            </w:r>
            <w:r>
              <w:t xml:space="preserve"> (Normal Footnote/Endnote)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</w:t>
            </w:r>
            <w:hyperlink r:id="rId12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6">
              <w:r>
                <w:rPr>
                  <w:rStyle w:val="Hyperlink"/>
                </w:rPr>
                <w:t>endnote</w:t>
              </w:r>
            </w:hyperlink>
            <w:r>
              <w:t xml:space="preserve"> is a normal </w:t>
            </w:r>
            <w:hyperlink r:id="rId12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6">
              <w:r>
                <w:rPr>
                  <w:rStyle w:val="Hyperlink"/>
                </w:rPr>
                <w:t>endnote</w:t>
              </w:r>
            </w:hyperlink>
            <w:r>
              <w:t>, and can be referenced by main document content.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separator</w:t>
              </w:r>
            </w:hyperlink>
            <w:r>
              <w:t/>
            </w:r>
            <w:r>
              <w:t xml:space="preserve"> (Separator)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this </w:t>
            </w:r>
            <w:hyperlink r:id="rId12">
              <w:r>
                <w:rPr>
                  <w:rStyle w:val="Hyperlink"/>
                </w:rPr>
                <w:t>footnote</w:t>
              </w:r>
            </w:hyperlink>
            <w:r>
              <w:t xml:space="preserve"> or </w:t>
            </w:r>
            <w:hyperlink r:id="rId16">
              <w:r>
                <w:rPr>
                  <w:rStyle w:val="Hyperlink"/>
                </w:rPr>
                <w:t>endnote</w:t>
              </w:r>
            </w:hyperlink>
            <w:r>
              <w:t xml:space="preserve"> is a </w:t>
            </w:r>
            <w:hyperlink r:id="rId13">
              <w:r>
                <w:rPr>
                  <w:rStyle w:val="Hyperlink"/>
                </w:rPr>
                <w:t>separator</w:t>
              </w:r>
            </w:hyperlink>
            <w:r>
              <w:t xml:space="preserve"> </w:t>
            </w:r>
            <w:hyperlink r:id="rId12">
              <w:r>
                <w:rPr>
                  <w:rStyle w:val="Hyperlink"/>
                </w:rPr>
                <w:t>footnote</w:t>
              </w:r>
            </w:hyperlink>
            <w:r>
              <w:t xml:space="preserve"> or endnote.</w:t>
            </w:r>
          </w:p>
          <w:p w:rsidRDefault="00476CD1" w:rsidP="002E5918" w:rsidR="00476CD1"/>
          <w:p w:rsidRDefault="00476CD1" w:rsidP="002E5918" w:rsidR="00476CD1">
            <w:r>
              <w:t xml:space="preserve">Separator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and </w:t>
            </w:r>
            <w:hyperlink r:id="rId11">
              <w:r>
                <w:rPr>
                  <w:rStyle w:val="Hyperlink"/>
                </w:rPr>
                <w:t>endnotes</w:t>
              </w:r>
            </w:hyperlink>
            <w:r>
              <w:t/>
            </w:r>
            <w:r>
              <w:t xml:space="preserve"> are used to indicate the separation </w:t>
            </w:r>
            <w:hyperlink r:id="rId18">
              <w:r>
                <w:rPr>
                  <w:rStyle w:val="Hyperlink"/>
                </w:rPr>
                <w:t>between</w:t>
              </w:r>
            </w:hyperlink>
            <w:r>
              <w:t xml:space="preserve"> the main document's content and the </w:t>
            </w:r>
            <w:hyperlink r:id="rId10">
              <w:r>
                <w:rPr>
                  <w:rStyle w:val="Hyperlink"/>
                </w:rPr>
                <w:t>footnotes</w:t>
              </w:r>
            </w:hyperlink>
            <w:r>
              <w:t xml:space="preserve"> or </w:t>
            </w:r>
            <w:hyperlink r:id="rId11">
              <w:r>
                <w:rPr>
                  <w:rStyle w:val="Hyperlink"/>
                </w:rPr>
                <w:t>endnotes</w:t>
              </w:r>
            </w:hyperlink>
            <w:r>
              <w:t xml:space="preserve"> to indicate that fact to the reader.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endnote@type</w:t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>footnote@type</w:t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9">
        <w:r>
          <w:rPr>
            <w:rStyle w:val="Hyperlink"/>
          </w:rPr>
          <w:t>name</w:t>
        </w:r>
      </w:hyperlink>
      <w:r>
        <w:t>="ST_FtnEdn"&gt;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value="normal"/&gt;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3">
        <w:r>
          <w:rPr>
            <w:rStyle w:val="Hyperlink"/>
          </w:rPr>
          <w:t>separator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7">
        <w:r>
          <w:rPr>
            <w:rStyle w:val="Hyperlink"/>
          </w:rPr>
          <w:t>continuationSeparator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value="continuationNotice"/&gt;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  <w:num w:numId="200">
    <w:abstractNumId w:val="4"/>
    <w:lvlOverride w:ilvl="0">
      <w:startOverride w:val="604"/>
    </w:lvlOverride>
  </w:num>
  <w:num w:numId="201">
    <w:abstractNumId w:val="4"/>
    <w:lvlOverride w:ilvl="0">
      <w:startOverride w:val="605"/>
    </w:lvlOverride>
  </w:num>
  <w:num w:numId="202">
    <w:abstractNumId w:val="4"/>
    <w:lvlOverride w:ilvl="0">
      <w:startOverride w:val="606"/>
    </w:lvlOverride>
  </w:num>
  <w:num w:numId="203">
    <w:abstractNumId w:val="4"/>
    <w:lvlOverride w:ilvl="0">
      <w:startOverride w:val="60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60.wmf"></Relationship><Relationship Id="rId9" Type="http://schemas.openxmlformats.org/officeDocument/2006/relationships/hyperlink" Target="type.docx" TargetMode="External"/><Relationship Id="rId10" Type="http://schemas.openxmlformats.org/officeDocument/2006/relationships/hyperlink" Target="footnotes.docx" TargetMode="External"/><Relationship Id="rId11" Type="http://schemas.openxmlformats.org/officeDocument/2006/relationships/hyperlink" Target="endnotes.docx" TargetMode="External"/><Relationship Id="rId12" Type="http://schemas.openxmlformats.org/officeDocument/2006/relationships/hyperlink" Target="footnote.docx" TargetMode="External"/><Relationship Id="rId13" Type="http://schemas.openxmlformats.org/officeDocument/2006/relationships/hyperlink" Target="separator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endnote.docx" TargetMode="External"/><Relationship Id="rId17" Type="http://schemas.openxmlformats.org/officeDocument/2006/relationships/hyperlink" Target="continuationSeparator.docx" TargetMode="External"/><Relationship Id="rId18" Type="http://schemas.openxmlformats.org/officeDocument/2006/relationships/hyperlink" Target="between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