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35.png" ContentType="image/png"/>
  <Override PartName="/word/media/image536.png" ContentType="image/png"/>
  <Override PartName="/word/media/image537.png" ContentType="image/png"/>
  <Override PartName="/word/media/image538.png" ContentType="image/png"/>
  <Override PartName="/word/media/image539.png" ContentType="image/png"/>
  <Override PartName="/word/media/image540.png" ContentType="image/png"/>
  <Override PartName="/word/media/image541.png" ContentType="image/png"/>
  <Override PartName="/word/media/image54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35_1" w:id="100001"/>
      <w:bookmarkStart w:name="bookce82da9b-180b-4158-a4d9-4b20305dfe83_1" w:id="100002"/>
      <w:r>
        <w:t>ST_NumberFormat</w:t>
      </w:r>
      <w:r>
        <w:t xml:space="preserve"> (Numbering Format)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16">
        <w:r>
          <w:rPr>
            <w:rStyle w:val="Hyperlink"/>
          </w:rPr>
          <w:t>type</w:t>
        </w:r>
      </w:hyperlink>
      <w:r>
        <w:t xml:space="preserve"> specifies the </w:t>
      </w:r>
      <w:hyperlink r:id="rId17">
        <w:r>
          <w:rPr>
            <w:rStyle w:val="Hyperlink"/>
          </w:rPr>
          <w:t>numbering</w:t>
        </w:r>
      </w:hyperlink>
      <w:r>
        <w:t xml:space="preserve"> </w:t>
      </w:r>
      <w:hyperlink r:id="rId18">
        <w:r>
          <w:rPr>
            <w:rStyle w:val="Hyperlink"/>
          </w:rPr>
          <w:t>format</w:t>
        </w:r>
      </w:hyperlink>
      <w:r>
        <w:t xml:space="preserve"> which shall be used for a </w:t>
      </w:r>
      <w:hyperlink r:id="rId19">
        <w:r>
          <w:rPr>
            <w:rStyle w:val="Hyperlink"/>
          </w:rPr>
          <w:t>group</w:t>
        </w:r>
      </w:hyperlink>
      <w:r>
        <w:t xml:space="preserve"> of automatically numbered objects,</w:t>
      </w:r>
    </w:p>
    <w:p w:rsidRDefault="00476CD1" w:rsidP="00476CD1" w:rsidR="00476CD1">
      <w:r>
        <w:t>[</w:t>
      </w:r>
      <w:r>
        <w:t>Example</w:t>
      </w:r>
      <w:r>
        <w:t xml:space="preserve">: A value of </w:t>
      </w:r>
      <w:r>
        <w:t>lowerLetter</w:t>
      </w:r>
      <w:r>
        <w:t xml:space="preserve"> for page </w:t>
      </w:r>
      <w:hyperlink r:id="rId17">
        <w:r>
          <w:rPr>
            <w:rStyle w:val="Hyperlink"/>
          </w:rPr>
          <w:t>numbering</w:t>
        </w:r>
      </w:hyperlink>
      <w:r>
        <w:t xml:space="preserve"> indicates that a consumer shall use lowercase letters for each page in this section: a,</w:t>
      </w:r>
      <w:hyperlink r:id="rId20">
        <w:r>
          <w:rPr>
            <w:rStyle w:val="Hyperlink"/>
          </w:rPr>
          <w:t>b</w:t>
        </w:r>
      </w:hyperlink>
      <w:r>
        <w:t xml:space="preserve">,c…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2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aiueo</w:t>
            </w:r>
            <w:r>
              <w:t xml:space="preserve"> (AIUEO Order Hiragana)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hiragana characters in the traditional a-i-u-e-o 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ｱ</w:t>
            </w:r>
            <w:r>
              <w:t xml:space="preserve">, </w:t>
            </w:r>
            <w:r>
              <w:t>ｲ</w:t>
            </w:r>
            <w:r>
              <w:t xml:space="preserve">, </w:t>
            </w:r>
            <w:r>
              <w:t>ｳ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aiueoFullWidth</w:t>
            </w:r>
            <w:r>
              <w:t xml:space="preserve"> (Full-Width AIUEO Order Hiragana)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full-width  hiragana characters in the traditional a-i-u-e-o 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ア</w:t>
            </w:r>
            <w:r>
              <w:t xml:space="preserve">, </w:t>
            </w:r>
            <w:r>
              <w:t>イ</w:t>
            </w:r>
            <w:r>
              <w:t xml:space="preserve">, </w:t>
            </w:r>
            <w:r>
              <w:t>ウ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arabicAbjad</w:t>
            </w:r>
            <w:r>
              <w:t xml:space="preserve"> (Arabic Abjad Numerals)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ascending Abjad numerals.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أ</w:t>
            </w:r>
            <w:r>
              <w:t xml:space="preserve">, </w:t>
            </w:r>
            <w:r>
              <w:t>‌ب</w:t>
            </w:r>
            <w:r>
              <w:t xml:space="preserve">, </w:t>
            </w:r>
            <w:r>
              <w:t>ج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arabicAlpha</w:t>
            </w:r>
            <w:r>
              <w:t xml:space="preserve"> (Arabic Alphabet)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characters in the Arabic alphabet.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أ‌</w:t>
            </w:r>
            <w:r>
              <w:t xml:space="preserve">, </w:t>
            </w:r>
            <w:r>
              <w:t>ب‌</w:t>
            </w:r>
            <w:r>
              <w:t xml:space="preserve">, </w:t>
            </w:r>
            <w:r>
              <w:t>ت‌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bullet</w:t>
            </w:r>
            <w:r>
              <w:t xml:space="preserve"> (Bullet)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bullet characters.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●</w:t>
            </w:r>
            <w:r>
              <w:t>‌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cardinalText</w:t>
            </w:r>
            <w:r>
              <w:t xml:space="preserve"> (Cardinal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cardinal text of the run language.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one, two, three.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chicago</w:t>
            </w:r>
            <w:r>
              <w:t xml:space="preserve"> (Chicago Manual of Style)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characters as defined in the Chicago Manual of Style.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*, †, ‡.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chineseCounting</w:t>
            </w:r>
            <w:r>
              <w:t xml:space="preserve"> (Chinese Counting System)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ascending numbers from the Chinese counting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一</w:t>
            </w:r>
            <w:r>
              <w:t xml:space="preserve">, </w:t>
            </w:r>
            <w:r>
              <w:t>‌</w:t>
            </w:r>
            <w:r>
              <w:t>二</w:t>
            </w:r>
            <w:r>
              <w:t xml:space="preserve">, </w:t>
            </w:r>
            <w:r>
              <w:t>三</w:t>
            </w:r>
            <w:r>
              <w:t xml:space="preserve">, </w:t>
            </w:r>
            <w:r>
              <w:t>四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chineseCountingThousand</w:t>
            </w:r>
            <w:r>
              <w:t xml:space="preserve"> (Chinese Counting Thousand System)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Chinese counting thousand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一</w:t>
            </w:r>
            <w:r>
              <w:t xml:space="preserve">, </w:t>
            </w:r>
            <w:r>
              <w:t>二</w:t>
            </w:r>
            <w:r>
              <w:t xml:space="preserve">, …, </w:t>
            </w:r>
            <w:r>
              <w:t>九</w:t>
            </w:r>
            <w:r>
              <w:t xml:space="preserve">, </w:t>
            </w:r>
            <w:r>
              <w:t>一○</w:t>
            </w:r>
            <w:r>
              <w:t xml:space="preserve"> 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chineseLegalSimplified</w:t>
            </w:r>
            <w:r>
              <w:t xml:space="preserve"> (Chinese Legal Simplified Format)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Chinese simplified legal format.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壹</w:t>
            </w:r>
            <w:r>
              <w:t xml:space="preserve">, …,  </w:t>
            </w:r>
            <w:r>
              <w:t>肆</w:t>
            </w:r>
            <w:r>
              <w:t xml:space="preserve">, </w:t>
            </w:r>
            <w:r>
              <w:t>伍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chosung</w:t>
            </w:r>
            <w:r>
              <w:t xml:space="preserve"> (Korean Chosung Numbering)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Korean Chosung format.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drawing>
                <wp:inline distR="0" distL="0" distB="0" distT="0">
                  <wp:extent cy="151130" cx="135255"/>
                  <wp:effectExtent b="1270" r="0" t="0" l="0"/>
                  <wp:docPr name="Picture 2" id="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mc="http://schemas.openxmlformats.org/markup-compatibility/2006" xmlns:ns1="http://schemas.openxmlformats.org/wordprocessingml/2006/main" xmlns:ns10="http://schemas.openxmlformats.org/drawingml/2006/picture" xmlns:ns12="http://schemas.microsoft.com/office/drawing/2008/diagram" xmlns:ns14="urn:schemas-microsoft-com:office:office" xmlns:ns15="urn:schemas-microsoft-com:vml" xmlns:ns16="urn:schemas-microsoft-com:office:word" xmlns:ns2="http://schemas.openxmlformats.org/officeDocument/2006/relationships" xmlns:ns20="http://opendope.org/xpaths" xmlns:ns21="http://opendope.org/conditions" xmlns:ns22="http://opendope.org/questions" xmlns:ns23="http://opendope.org/answers" xmlns:ns24="http://opendope.org/components" xmlns:ns25="http://opendope.org/SmartArt/DataHierarchy" xmlns:ns3="http://schemas.openxmlformats.org/officeDocument/2006/math" xmlns:ns4="http://schemas.openxmlformats.org/drawingml/2006/wordprocessingDrawing" xmlns:ns5="http://schemas.openxmlformats.org/drawingml/2006/main" xmlns:ns7="http://schemas.openxmlformats.org/drawingml/2006/chart" xmlns:ns9="http://schemas.openxmlformats.org/drawingml/2006/diagram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51130" cx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drawing>
                <wp:inline distR="0" distL="0" distB="0" distT="0">
                  <wp:extent cy="142875" cx="174625"/>
                  <wp:effectExtent b="9525" r="0" t="0" l="0"/>
                  <wp:docPr name="Picture 1" id="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3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mc="http://schemas.openxmlformats.org/markup-compatibility/2006" xmlns:ns1="http://schemas.openxmlformats.org/wordprocessingml/2006/main" xmlns:ns10="http://schemas.openxmlformats.org/drawingml/2006/picture" xmlns:ns12="http://schemas.microsoft.com/office/drawing/2008/diagram" xmlns:ns14="urn:schemas-microsoft-com:office:office" xmlns:ns15="urn:schemas-microsoft-com:vml" xmlns:ns16="urn:schemas-microsoft-com:office:word" xmlns:ns2="http://schemas.openxmlformats.org/officeDocument/2006/relationships" xmlns:ns20="http://opendope.org/xpaths" xmlns:ns21="http://opendope.org/conditions" xmlns:ns22="http://opendope.org/questions" xmlns:ns23="http://opendope.org/answers" xmlns:ns24="http://opendope.org/components" xmlns:ns25="http://opendope.org/SmartArt/DataHierarchy" xmlns:ns3="http://schemas.openxmlformats.org/officeDocument/2006/math" xmlns:ns4="http://schemas.openxmlformats.org/drawingml/2006/wordprocessingDrawing" xmlns:ns5="http://schemas.openxmlformats.org/drawingml/2006/main" xmlns:ns7="http://schemas.openxmlformats.org/drawingml/2006/chart" xmlns:ns9="http://schemas.openxmlformats.org/drawingml/2006/diagram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142875" cx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decimal</w:t>
            </w:r>
            <w:r>
              <w:t xml:space="preserve"> (Decimal Numbers)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decimal numbering.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1, 2, 3, … , 9, 10, 11.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decimalEnclosedCircle</w:t>
            </w:r>
            <w:r>
              <w:t xml:space="preserve"> (Decimal Numbers Enclosed in a Circle)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sequence shall consist of decimal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 xml:space="preserve"> enclosed in a circle, using the enclosed alphanumeric glyph character.</w:t>
            </w:r>
          </w:p>
          <w:p w:rsidRDefault="00476CD1" w:rsidP="002E5918" w:rsidR="00476CD1"/>
          <w:p w:rsidRDefault="00476CD1" w:rsidP="002E5918" w:rsidR="00476CD1">
            <w:r>
              <w:t>Once the specified sequence reaches 21, the numbers may be replaced with non-enclosed equivalents.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①</w:t>
            </w:r>
            <w:r>
              <w:t xml:space="preserve">, </w:t>
            </w:r>
            <w:r>
              <w:t>②</w:t>
            </w:r>
            <w:r>
              <w:t xml:space="preserve">, </w:t>
            </w:r>
            <w:r>
              <w:t>③</w:t>
            </w:r>
            <w:r>
              <w:t xml:space="preserve">,…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decimalEnclosedCircleChinese</w:t>
            </w:r>
            <w:r>
              <w:t xml:space="preserve"> (Decimal Numbers Enclosed in a Circle)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sequence shall consist of decimal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 xml:space="preserve"> enclosed in a circle, using the enclosed alphanumeric glyph character.</w:t>
            </w:r>
          </w:p>
          <w:p w:rsidRDefault="00476CD1" w:rsidP="002E5918" w:rsidR="00476CD1"/>
          <w:p w:rsidRDefault="00476CD1" w:rsidP="002E5918" w:rsidR="00476CD1">
            <w:r>
              <w:t>Once the specified sequence reaches 11, the numbers may be replaced with non-enclosed equivalents.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①</w:t>
            </w:r>
            <w:r>
              <w:t xml:space="preserve">, </w:t>
            </w:r>
            <w:r>
              <w:t>②</w:t>
            </w:r>
            <w:r>
              <w:t xml:space="preserve">, </w:t>
            </w:r>
            <w:r>
              <w:t>③</w:t>
            </w:r>
            <w:r>
              <w:t xml:space="preserve">,…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decimalEnclosedFullstop</w:t>
            </w:r>
            <w:r>
              <w:t xml:space="preserve"> (Decimal Numbers Followed by a Period)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sequence shall consist of decimal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 xml:space="preserve"> followed by a period, using the enclosed alphanumeric glyph character.</w:t>
            </w:r>
          </w:p>
          <w:p w:rsidRDefault="00476CD1" w:rsidP="002E5918" w:rsidR="00476CD1"/>
          <w:p w:rsidRDefault="00476CD1" w:rsidP="002E5918" w:rsidR="00476CD1">
            <w:r>
              <w:t>Once the specified sequence reaches 21, the numbers may be replaced with non-enclosed equivalents.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⒈</w:t>
            </w:r>
            <w:r>
              <w:t xml:space="preserve">, </w:t>
            </w:r>
            <w:r>
              <w:t>⒉</w:t>
            </w:r>
            <w:r>
              <w:t xml:space="preserve">, </w:t>
            </w:r>
            <w:r>
              <w:t>⒊</w:t>
            </w:r>
            <w:r>
              <w:t xml:space="preserve">,…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decimalEnclosedParen</w:t>
            </w:r>
            <w:r>
              <w:t xml:space="preserve"> (Decimal Numbers Enclosed in Parenthesis)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sequence shall consist of decimal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 xml:space="preserve"> enclosed in parenthesis, using the enclosed alphanumeric glyph character.</w:t>
            </w:r>
          </w:p>
          <w:p w:rsidRDefault="00476CD1" w:rsidP="002E5918" w:rsidR="00476CD1"/>
          <w:p w:rsidRDefault="00476CD1" w:rsidP="002E5918" w:rsidR="00476CD1">
            <w:r>
              <w:t>Once the specified sequence reaches 21, the numbers may be replaced with non-enclosed equivalents.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⑴</w:t>
            </w:r>
            <w:r>
              <w:t xml:space="preserve">, </w:t>
            </w:r>
            <w:r>
              <w:t>⑵</w:t>
            </w:r>
            <w:r>
              <w:t xml:space="preserve">, </w:t>
            </w:r>
            <w:r>
              <w:t>⑶</w:t>
            </w:r>
            <w:r>
              <w:t xml:space="preserve">,…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decimalFullWidth</w:t>
            </w:r>
            <w:r>
              <w:t xml:space="preserve"> (Double Byte Arabic Numerals)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double-byte Arabic numbering.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１</w:t>
            </w:r>
            <w:r>
              <w:t xml:space="preserve">, </w:t>
            </w:r>
            <w:r>
              <w:t>２</w:t>
            </w:r>
            <w:r>
              <w:t xml:space="preserve">, </w:t>
            </w:r>
            <w:r>
              <w:t>３</w:t>
            </w:r>
            <w:r>
              <w:t xml:space="preserve"> 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decimalFullWidth2</w:t>
            </w:r>
            <w:r>
              <w:t xml:space="preserve"> (Double Byte Arabic Numerals Alternate)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sequence shall consist of an alternative set of double-byte Arabic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>, if one exists in the run font.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１</w:t>
            </w:r>
            <w:r>
              <w:t xml:space="preserve">, </w:t>
            </w:r>
            <w:r>
              <w:t>２</w:t>
            </w:r>
            <w:r>
              <w:t xml:space="preserve">, </w:t>
            </w:r>
            <w:r>
              <w:t>３</w:t>
            </w:r>
            <w:r>
              <w:t xml:space="preserve"> 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decimalHalfWidth</w:t>
            </w:r>
            <w:r>
              <w:t xml:space="preserve"> (Single Byte Arabic Numerals)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single-byte Arabic numbering.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1, 2, 3.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decimalZero</w:t>
            </w:r>
            <w:r>
              <w:t xml:space="preserve"> (Initial Zero Arabic Numerals)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sequence shall consist of Arabic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 xml:space="preserve"> with a zero added to numbers one through nine.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01, 02, 03, …, 09, 10.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ganada</w:t>
            </w:r>
            <w:r>
              <w:t xml:space="preserve"> (Korean Ganada Numbering)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Korean Ganada format.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drawing>
                <wp:inline distR="0" distL="0" distB="0" distT="0">
                  <wp:extent cy="253365" cx="245745"/>
                  <wp:effectExtent b="0" r="0" t="0" l="0"/>
                  <wp:docPr name="Picture 1621" id="1074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62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3365" cx="2457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drawing>
                <wp:inline distR="0" distL="0" distB="0" distT="0">
                  <wp:extent cy="253365" cx="222885"/>
                  <wp:effectExtent b="0" r="0" t="0" l="0"/>
                  <wp:docPr name="Picture 1626" id="4527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626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53365" cx="2228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hebrew1</w:t>
            </w:r>
            <w:r>
              <w:t xml:space="preserve"> (Hebrew Numerals)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Hebrew numerals.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א</w:t>
            </w:r>
            <w:r>
              <w:t xml:space="preserve">, </w:t>
            </w:r>
            <w:r>
              <w:t>ב</w:t>
            </w:r>
            <w:r>
              <w:t xml:space="preserve">, </w:t>
            </w:r>
            <w:r>
              <w:t>ג</w:t>
            </w:r>
            <w:r>
              <w:t xml:space="preserve">, … , </w:t>
            </w:r>
            <w:r>
              <w:t>יא</w:t>
            </w:r>
            <w:r>
              <w:t xml:space="preserve">, </w:t>
            </w:r>
            <w:r>
              <w:t>י</w:t>
            </w:r>
            <w:r>
              <w:t xml:space="preserve">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hebrew2</w:t>
            </w:r>
            <w:r>
              <w:t xml:space="preserve"> (Hebrew Alphabet)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the Hebrew alphabet.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א</w:t>
            </w:r>
            <w:r>
              <w:t xml:space="preserve">, </w:t>
            </w:r>
            <w:r>
              <w:t>ב</w:t>
            </w:r>
            <w:r>
              <w:t xml:space="preserve">, </w:t>
            </w:r>
            <w:r>
              <w:t>ג</w:t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hex</w:t>
            </w:r>
            <w:r>
              <w:t xml:space="preserve"> (Hexadecimal Numbering)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hexadecimal numbering.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1, 2, 3, … , </w:t>
            </w:r>
            <w:smartTag w:element="metricconverter" w:uri="urn:schemas-microsoft-com:office:smarttags">
              <w:smartTagPr>
                <w:attr w:val="9, A" w:name="ProductID"/>
              </w:smartTagPr>
              <w:r>
                <w:t>9, A</w:t>
              </w:r>
            </w:smartTag>
            <w:r>
              <w:t xml:space="preserve">, B.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hindiConsonants</w:t>
            </w:r>
            <w:r>
              <w:t xml:space="preserve"> (Hindi Consonants)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Hindi consonants.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sdt>
              <w:sdtPr>
                <w:id w:val="4567678"/>
                <w:docPartObj>
                  <w:docPartGallery w:val="AutoText"/>
                  <w:docPartUnique/>
                </w:docPartObj>
              </w:sdtPr>
              <w:sdtContent>
                <w:r>
                  <w:rPr>
                    <w:rFonts w:cs="Mangal" w:hAnsi="Mangal" w:ascii="Mangal" w:hint="cs"/>
                    <w:cs/>
                  </w:rPr>
                  <w:t>अ</w:t>
                </w:r>
              </w:sdtContent>
            </w:sdt>
            <w:r>
              <w:t xml:space="preserve">, </w:t>
            </w:r>
            <w:sdt>
              <w:sdtPr>
                <w:id w:val="58346762"/>
                <w:docPartObj>
                  <w:docPartGallery w:val="AutoText"/>
                  <w:docPartUnique/>
                </w:docPartObj>
              </w:sdtPr>
              <w:sdtContent>
                <w:r>
                  <w:rPr>
                    <w:rFonts w:cs="Mangal" w:hAnsi="Mangal" w:ascii="Mangal" w:hint="cs"/>
                    <w:cs/>
                  </w:rPr>
                  <w:t>आ</w:t>
                </w:r>
              </w:sdtContent>
            </w:sdt>
            <w:r>
              <w:t xml:space="preserve">, </w:t>
            </w:r>
            <w:sdt>
              <w:sdtPr>
                <w:id w:val="58346771"/>
                <w:docPartObj>
                  <w:docPartGallery w:val="AutoText"/>
                  <w:docPartUnique/>
                </w:docPartObj>
              </w:sdtPr>
              <w:sdtContent>
                <w:r>
                  <w:rPr>
                    <w:rFonts w:cs="Mangal" w:hAnsi="Mangal" w:ascii="Mangal" w:hint="cs"/>
                    <w:cs/>
                  </w:rPr>
                  <w:t>इ</w:t>
                </w:r>
              </w:sdtContent>
            </w:sdt>
            <w:r>
              <w:t xml:space="preserve">, 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hindiCounting</w:t>
            </w:r>
            <w:r>
              <w:t xml:space="preserve"> (Hindi Counting System)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Hindi counting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sdt>
              <w:sdtPr>
                <w:id w:val="90439349"/>
                <w:docPartObj>
                  <w:docPartGallery w:val="AutoText"/>
                  <w:docPartUnique/>
                </w:docPartObj>
              </w:sdtPr>
              <w:sdtContent>
                <w:r>
                  <w:rPr>
                    <w:rFonts w:cs="Mangal" w:hAnsi="Mangal" w:ascii="Mangal" w:hint="cs"/>
                    <w:cs/>
                  </w:rPr>
                  <w:t>एक</w:t>
                </w:r>
              </w:sdtContent>
            </w:sdt>
            <w:r>
              <w:t xml:space="preserve">, </w:t>
            </w:r>
            <w:sdt>
              <w:sdtPr>
                <w:id w:val="90439358"/>
                <w:docPartObj>
                  <w:docPartGallery w:val="AutoText"/>
                  <w:docPartUnique/>
                </w:docPartObj>
              </w:sdtPr>
              <w:sdtContent>
                <w:r>
                  <w:rPr>
                    <w:rFonts w:cs="Mangal" w:hAnsi="Mangal" w:ascii="Mangal" w:hint="cs"/>
                    <w:cs/>
                  </w:rPr>
                  <w:t>दो</w:t>
                </w:r>
              </w:sdtContent>
            </w:sdt>
            <w:r>
              <w:t>,</w:t>
            </w:r>
            <w:r>
              <w:t xml:space="preserve"> </w:t>
            </w:r>
            <w:sdt>
              <w:sdtPr>
                <w:id w:val="58346933"/>
                <w:docPartObj>
                  <w:docPartGallery w:val="AutoText"/>
                  <w:docPartUnique/>
                </w:docPartObj>
              </w:sdtPr>
              <w:sdtContent>
                <w:sdt>
                  <w:sdtPr>
                    <w:id w:val="90439367"/>
                    <w:docPartObj>
                      <w:docPartGallery w:val="AutoText"/>
                      <w:docPartUnique/>
                    </w:docPartObj>
                  </w:sdtPr>
                  <w:sdtContent>
                    <w:r>
                      <w:rPr>
                        <w:rFonts w:cs="Mangal" w:hAnsi="Mangal" w:ascii="Mangal" w:hint="cs"/>
                        <w:cs/>
                      </w:rPr>
                      <w:t>तीन</w:t>
                    </w:r>
                  </w:sdtContent>
                </w:sdt>
              </w:sdtContent>
            </w:sdt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hindiNumbers</w:t>
            </w:r>
            <w:r>
              <w:t xml:space="preserve"> (Hindi Numbers)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Hindi numbers.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sdt>
              <w:sdtPr>
                <w:id w:val="58346840"/>
                <w:docPartObj>
                  <w:docPartGallery w:val="AutoText"/>
                  <w:docPartUnique/>
                </w:docPartObj>
              </w:sdtPr>
              <w:sdtContent>
                <w:sdt>
                  <w:sdtPr>
                    <w:id w:val="58346841"/>
                    <w:docPartObj>
                      <w:docPartGallery w:val="AutoText"/>
                      <w:docPartUnique/>
                    </w:docPartObj>
                  </w:sdtPr>
                  <w:sdtContent>
                    <w:sdt>
                      <w:sdtPr>
                        <w:id w:val="58346848"/>
                        <w:docPartObj>
                          <w:docPartGallery w:val="AutoText"/>
                          <w:docPartUnique/>
                        </w:docPartObj>
                      </w:sdtPr>
                      <w:sdtContent>
                        <w:r>
                          <w:rPr>
                            <w:rFonts w:cs="Mangal" w:hAnsi="Mangal" w:ascii="Mangal" w:hint="cs"/>
                            <w:cs/>
                          </w:rPr>
                          <w:t>१</w:t>
                        </w:r>
                      </w:sdtContent>
                    </w:sdt>
                  </w:sdtContent>
                </w:sdt>
              </w:sdtContent>
            </w:sdt>
            <w:r>
              <w:t xml:space="preserve">, </w:t>
            </w:r>
            <w:sdt>
              <w:sdtPr>
                <w:id w:val="58346842"/>
                <w:docPartObj>
                  <w:docPartGallery w:val="AutoText"/>
                  <w:docPartUnique/>
                </w:docPartObj>
              </w:sdtPr>
              <w:sdtContent>
                <w:sdt>
                  <w:sdtPr>
                    <w:id w:val="58346843"/>
                    <w:docPartObj>
                      <w:docPartGallery w:val="AutoText"/>
                      <w:docPartUnique/>
                    </w:docPartObj>
                  </w:sdtPr>
                  <w:sdtContent>
                    <w:sdt>
                      <w:sdtPr>
                        <w:id w:val="58346858"/>
                        <w:docPartObj>
                          <w:docPartGallery w:val="AutoText"/>
                          <w:docPartUnique/>
                        </w:docPartObj>
                      </w:sdtPr>
                      <w:sdtContent>
                        <w:r>
                          <w:rPr>
                            <w:rFonts w:cs="Mangal" w:hAnsi="Mangal" w:ascii="Mangal" w:hint="cs"/>
                            <w:cs/>
                          </w:rPr>
                          <w:t>२</w:t>
                        </w:r>
                      </w:sdtContent>
                    </w:sdt>
                  </w:sdtContent>
                </w:sdt>
              </w:sdtContent>
            </w:sdt>
            <w:r>
              <w:t xml:space="preserve">, </w:t>
            </w:r>
            <w:sdt>
              <w:sdtPr>
                <w:id w:val="58346844"/>
                <w:docPartObj>
                  <w:docPartGallery w:val="AutoText"/>
                  <w:docPartUnique/>
                </w:docPartObj>
              </w:sdtPr>
              <w:sdtContent>
                <w:sdt>
                  <w:sdtPr>
                    <w:id w:val="58346845"/>
                    <w:docPartObj>
                      <w:docPartGallery w:val="AutoText"/>
                      <w:docPartUnique/>
                    </w:docPartObj>
                  </w:sdtPr>
                  <w:sdtContent>
                    <w:sdt>
                      <w:sdtPr>
                        <w:id w:val="58346869"/>
                        <w:docPartObj>
                          <w:docPartGallery w:val="AutoText"/>
                          <w:docPartUnique/>
                        </w:docPartObj>
                      </w:sdtPr>
                      <w:sdtContent>
                        <w:r>
                          <w:rPr>
                            <w:rFonts w:cs="Mangal" w:hAnsi="Mangal" w:ascii="Mangal" w:hint="cs"/>
                            <w:cs/>
                          </w:rPr>
                          <w:t>३</w:t>
                        </w:r>
                      </w:sdtContent>
                    </w:sdt>
                  </w:sdtContent>
                </w:sdt>
              </w:sdtContent>
            </w:sdt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hindiVowels</w:t>
            </w:r>
            <w:r>
              <w:t xml:space="preserve"> (Hindi Vowels)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Hindi vowels.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sdt>
              <w:sdtPr>
                <w:id w:val="58346785"/>
                <w:docPartObj>
                  <w:docPartGallery w:val="AutoText"/>
                  <w:docPartUnique/>
                </w:docPartObj>
              </w:sdtPr>
              <w:sdtContent>
                <w:sdt>
                  <w:sdtPr>
                    <w:id w:val="58346798"/>
                    <w:docPartObj>
                      <w:docPartGallery w:val="AutoText"/>
                      <w:docPartUnique/>
                    </w:docPartObj>
                  </w:sdtPr>
                  <w:sdtContent>
                    <w:r>
                      <w:rPr>
                        <w:rFonts w:cs="Mangal" w:hAnsi="Mangal" w:ascii="Mangal" w:hint="cs"/>
                        <w:cs/>
                      </w:rPr>
                      <w:t>क</w:t>
                    </w:r>
                  </w:sdtContent>
                </w:sdt>
              </w:sdtContent>
            </w:sdt>
            <w:r>
              <w:t xml:space="preserve">, </w:t>
            </w:r>
            <w:sdt>
              <w:sdtPr>
                <w:id w:val="58346786"/>
                <w:docPartObj>
                  <w:docPartGallery w:val="AutoText"/>
                  <w:docPartUnique/>
                </w:docPartObj>
              </w:sdtPr>
              <w:sdtContent>
                <w:sdt>
                  <w:sdtPr>
                    <w:id w:val="58346806"/>
                    <w:docPartObj>
                      <w:docPartGallery w:val="AutoText"/>
                      <w:docPartUnique/>
                    </w:docPartObj>
                  </w:sdtPr>
                  <w:sdtContent>
                    <w:r>
                      <w:rPr>
                        <w:rFonts w:cs="Mangal" w:hAnsi="Mangal" w:ascii="Mangal" w:hint="cs"/>
                        <w:cs/>
                      </w:rPr>
                      <w:t>ख</w:t>
                    </w:r>
                  </w:sdtContent>
                </w:sdt>
              </w:sdtContent>
            </w:sdt>
            <w:r>
              <w:t xml:space="preserve">, </w:t>
            </w:r>
            <w:sdt>
              <w:sdtPr>
                <w:id w:val="58346787"/>
                <w:docPartObj>
                  <w:docPartGallery w:val="AutoText"/>
                  <w:docPartUnique/>
                </w:docPartObj>
              </w:sdtPr>
              <w:sdtContent>
                <w:sdt>
                  <w:sdtPr>
                    <w:id w:val="58346815"/>
                    <w:docPartObj>
                      <w:docPartGallery w:val="AutoText"/>
                      <w:docPartUnique/>
                    </w:docPartObj>
                  </w:sdtPr>
                  <w:sdtContent>
                    <w:r>
                      <w:rPr>
                        <w:rFonts w:cs="Mangal" w:hAnsi="Mangal" w:ascii="Mangal" w:hint="cs"/>
                        <w:cs/>
                      </w:rPr>
                      <w:t>ग</w:t>
                    </w:r>
                  </w:sdtContent>
                </w:sdt>
              </w:sdtContent>
            </w:sdt>
            <w:r>
              <w:t xml:space="preserve">, 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ideographDigital</w:t>
            </w:r>
            <w:r>
              <w:t xml:space="preserve"> (Ideographs)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numerical ideographs enclosed in a circle, using the appropriate character.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一</w:t>
            </w:r>
            <w:r>
              <w:t xml:space="preserve">, </w:t>
            </w:r>
            <w:r>
              <w:t>‌</w:t>
            </w:r>
            <w:r>
              <w:t>二</w:t>
            </w:r>
            <w:r>
              <w:t xml:space="preserve">, </w:t>
            </w:r>
            <w:r>
              <w:t>三</w:t>
            </w:r>
            <w:r>
              <w:t xml:space="preserve">, </w:t>
            </w:r>
            <w:r>
              <w:t>四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ideographEnclosedCircle</w:t>
            </w:r>
            <w:r>
              <w:t xml:space="preserve"> (Ideographs Enclosed in a Circle)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numerical ideographs enclosed in a circle, using the appropriate character.</w:t>
            </w:r>
          </w:p>
          <w:p w:rsidRDefault="00476CD1" w:rsidP="002E5918" w:rsidR="00476CD1"/>
          <w:p w:rsidRDefault="00476CD1" w:rsidP="002E5918" w:rsidR="00476CD1">
            <w:r>
              <w:t>Once the specified sequence reaches 11, the numbers may be replaced with non-enclosed equivalents.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㊀</w:t>
            </w:r>
            <w:r>
              <w:t xml:space="preserve">, </w:t>
            </w:r>
            <w:r>
              <w:t>㊁</w:t>
            </w:r>
            <w:r>
              <w:t xml:space="preserve">, </w:t>
            </w:r>
            <w:r>
              <w:t>㊂</w:t>
            </w:r>
            <w:r>
              <w:t xml:space="preserve">,…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ideographLegalTraditional</w:t>
            </w:r>
            <w:r>
              <w:t xml:space="preserve"> (Traditional Legal Ideograph Format)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numerical traditional legal ideographs.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壹</w:t>
            </w:r>
            <w:r>
              <w:t xml:space="preserve">, </w:t>
            </w:r>
            <w:r>
              <w:t>貳</w:t>
            </w:r>
            <w:r>
              <w:t xml:space="preserve">, </w:t>
            </w:r>
            <w:r>
              <w:t>參</w:t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ideographTraditional</w:t>
            </w:r>
            <w:r>
              <w:t xml:space="preserve"> (Traditional Ideograph Format)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numerical traditional ideographs.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甲</w:t>
            </w:r>
            <w:r>
              <w:t xml:space="preserve">, </w:t>
            </w:r>
            <w:r>
              <w:t>乙</w:t>
            </w:r>
            <w:r>
              <w:t xml:space="preserve">, </w:t>
            </w:r>
            <w:r>
              <w:t>丙</w:t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ideographZodiac</w:t>
            </w:r>
            <w:r>
              <w:t xml:space="preserve"> (Zodiac Ideograph Format)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zodiac ideographs.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子</w:t>
            </w:r>
            <w:r>
              <w:t xml:space="preserve">, </w:t>
            </w:r>
            <w:r>
              <w:t>丑</w:t>
            </w:r>
            <w:r>
              <w:t xml:space="preserve">, </w:t>
            </w:r>
            <w:r>
              <w:t>寅</w:t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ideographZodiacTraditional</w:t>
            </w:r>
            <w:r>
              <w:t xml:space="preserve"> (Traditional Zodiac Ideograph Format)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traditional zodiac ideographs.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甲子</w:t>
            </w:r>
            <w:r>
              <w:t xml:space="preserve">, </w:t>
            </w:r>
            <w:r>
              <w:t>乙丑</w:t>
            </w:r>
            <w:r>
              <w:t xml:space="preserve">, </w:t>
            </w:r>
            <w:r>
              <w:t>丙寅</w:t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iroha</w:t>
            </w:r>
            <w:r>
              <w:t xml:space="preserve"> (Iroha Ordered Katakana)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the iroha.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ｲ</w:t>
            </w:r>
            <w:r>
              <w:t xml:space="preserve">, </w:t>
            </w:r>
            <w:r>
              <w:t>ﾛ</w:t>
            </w:r>
            <w:r>
              <w:t xml:space="preserve">, </w:t>
            </w:r>
            <w:r>
              <w:t>ﾊ</w:t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irohaFullWidth</w:t>
            </w:r>
            <w:r>
              <w:t xml:space="preserve"> (Full-Width Iroha Ordered Katakana)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the full-width forms of the iroha.</w:t>
            </w:r>
          </w:p>
          <w:p w:rsidRDefault="00476CD1" w:rsidP="002E5918" w:rsidR="00476CD1"/>
          <w:p w:rsidRDefault="00476CD1" w:rsidP="002E5918" w:rsidR="00476CD1">
            <w:pPr>
              <w:rPr>
                <w:b/>
              </w:rPr>
            </w:pPr>
            <w:r>
              <w:t>[</w:t>
            </w:r>
            <w:r>
              <w:t>Example</w:t>
            </w:r>
            <w:r>
              <w:t xml:space="preserve">: </w:t>
            </w:r>
            <w:sdt>
              <w:sdtPr>
                <w:rPr>
                  <w:b/>
                </w:rPr>
                <w:id w:val="3186574"/>
                <w:docPartObj>
                  <w:docPartGallery w:val="AutoText"/>
                  <w:docPartUnique/>
                </w:docPartObj>
              </w:sdtPr>
              <w:sdtContent>
                <w:r>
                  <w:rPr>
                    <w:rFonts w:hint="eastAsia"/>
                    <w:noProof/>
                  </w:rPr>
                  <w:t>イ</w:t>
                </w:r>
              </w:sdtContent>
            </w:sdt>
            <w:r>
              <w:t xml:space="preserve">, </w:t>
            </w:r>
            <w:sdt>
              <w:sdtPr>
                <w:rPr>
                  <w:b/>
                </w:rPr>
                <w:id w:val="159135075"/>
                <w:docPartObj>
                  <w:docPartGallery w:val="AutoText"/>
                  <w:docPartUnique/>
                </w:docPartObj>
              </w:sdtPr>
              <w:sdtContent>
                <w:r>
                  <w:rPr>
                    <w:rFonts w:hint="eastAsia"/>
                    <w:noProof/>
                  </w:rPr>
                  <w:t>ロ</w:t>
                </w:r>
              </w:sdtContent>
            </w:sdt>
            <w:r>
              <w:t xml:space="preserve">, </w:t>
            </w:r>
            <w:sdt>
              <w:sdtPr>
                <w:rPr>
                  <w:b/>
                </w:rPr>
                <w:id w:val="159135084"/>
                <w:docPartObj>
                  <w:docPartGallery w:val="AutoText"/>
                  <w:docPartUnique/>
                </w:docPartObj>
              </w:sdtPr>
              <w:sdtContent>
                <w:r>
                  <w:rPr>
                    <w:rFonts w:hint="eastAsia"/>
                    <w:noProof/>
                  </w:rPr>
                  <w:t>ハ</w:t>
                </w:r>
              </w:sdtContent>
            </w:sdt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japaneseCounting</w:t>
            </w:r>
            <w:r>
              <w:t xml:space="preserve"> (Japanese Counting System)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Japanese counting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一</w:t>
            </w:r>
            <w:r>
              <w:t xml:space="preserve">, </w:t>
            </w:r>
            <w:r>
              <w:t>二</w:t>
            </w:r>
            <w:r>
              <w:t xml:space="preserve">, …, </w:t>
            </w:r>
            <w:r>
              <w:t>九</w:t>
            </w:r>
            <w:r>
              <w:t xml:space="preserve">, </w:t>
            </w:r>
            <w:r>
              <w:t>十</w:t>
            </w:r>
            <w:r>
              <w:t xml:space="preserve">, </w:t>
            </w:r>
            <w:r>
              <w:t>十一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japaneseDigitalTenThousand</w:t>
            </w:r>
            <w:r>
              <w:t xml:space="preserve"> (Japanese Digital Ten Thousand Counting System)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Japanese digital ten thousand counting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一</w:t>
            </w:r>
            <w:r>
              <w:t xml:space="preserve">, </w:t>
            </w:r>
            <w:r>
              <w:t>二</w:t>
            </w:r>
            <w:r>
              <w:t xml:space="preserve">, …, </w:t>
            </w:r>
            <w:r>
              <w:t>九</w:t>
            </w:r>
            <w:r>
              <w:t xml:space="preserve">,  </w:t>
            </w:r>
            <w:r>
              <w:t>一〇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japaneseLegal</w:t>
            </w:r>
            <w:r>
              <w:t xml:space="preserve"> (Japanese Legal Numbering)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Japanese legal counting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壱</w:t>
            </w:r>
            <w:r>
              <w:t xml:space="preserve">, </w:t>
            </w:r>
            <w:r>
              <w:t>弐</w:t>
            </w:r>
            <w:r>
              <w:t xml:space="preserve">, </w:t>
            </w:r>
            <w:r>
              <w:t>参</w:t>
            </w:r>
            <w:r>
              <w:t xml:space="preserve">, ….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koreanCounting</w:t>
            </w:r>
            <w:r>
              <w:t xml:space="preserve"> (Korean Counting System)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Korean counting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drawing>
                <wp:inline distR="0" distL="0" distB="0" distT="0">
                  <wp:extent cy="200025" cx="184150"/>
                  <wp:effectExtent b="0" r="0" t="0" l="0"/>
                  <wp:docPr name="Picture 1634" id="4105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63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0025" cx="1841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drawing>
                <wp:inline distR="0" distL="0" distB="0" distT="0">
                  <wp:extent cy="207645" cx="230505"/>
                  <wp:effectExtent b="0" r="0" t="0" l="0"/>
                  <wp:docPr name="Picture 1640" id="1301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640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2305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koreanDigital</w:t>
            </w:r>
            <w:r>
              <w:t xml:space="preserve"> (Korean Digital Counting System)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Korean digital counting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drawing>
                <wp:inline distR="0" distL="0" distB="0" distT="0">
                  <wp:extent cy="200025" cx="184150"/>
                  <wp:effectExtent b="0" r="0" t="0" l="0"/>
                  <wp:docPr name="Picture 1634" id="517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63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0025" cx="1841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drawing>
                <wp:inline distR="0" distL="0" distB="0" distT="0">
                  <wp:extent cy="207645" cx="230505"/>
                  <wp:effectExtent b="0" r="0" t="0" l="0"/>
                  <wp:docPr name="Picture 1637" id="4354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63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2305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koreanDigital2</w:t>
            </w:r>
            <w:r>
              <w:t xml:space="preserve"> (Korean Digital Counting System Alternate)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Korean digital counting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drawing>
                <wp:inline distR="0" distL="0" distB="0" distT="0">
                  <wp:extent cy="200025" cx="184150"/>
                  <wp:effectExtent b="0" r="0" t="0" l="0"/>
                  <wp:docPr name="Picture 1634" id="9645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634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0025" cx="1841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drawing>
                <wp:inline distR="0" distL="0" distB="0" distT="0">
                  <wp:extent cy="207645" cx="230505"/>
                  <wp:effectExtent b="0" r="0" t="0" l="0"/>
                  <wp:docPr name="Picture 1637" id="9207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63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07645" cx="23050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koreanLegal</w:t>
            </w:r>
            <w:r>
              <w:t xml:space="preserve"> (Korean Legal Numbering)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sequence shall consist of sequential numbers from the Korean legal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 xml:space="preserve">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drawing>
                <wp:inline distR="0" distL="0" distB="0" distT="0">
                  <wp:extent cy="269240" cx="422910"/>
                  <wp:effectExtent b="0" r="0" t="0" l="0"/>
                  <wp:docPr name="Picture 1632" id="6057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632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69240" cx="4229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drawing>
                <wp:inline distR="0" distL="0" distB="0" distT="0">
                  <wp:extent cy="238125" cx="245745"/>
                  <wp:effectExtent b="0" r="0" t="0" l="0"/>
                  <wp:docPr name="Picture 1633" id="2260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63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38125" cx="2457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 xml:space="preserve">, …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lowerLetter</w:t>
            </w:r>
            <w:r>
              <w:t xml:space="preserve"> (Lowercase Latin Alphabet)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the letters of the Latin alphabet in lower case.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a, </w:t>
            </w:r>
            <w:hyperlink r:id="rId20">
              <w:r>
                <w:rPr>
                  <w:rStyle w:val="Hyperlink"/>
                </w:rPr>
                <w:t>b</w:t>
              </w:r>
            </w:hyperlink>
            <w:r>
              <w:t xml:space="preserve">, c.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lowerRoman</w:t>
            </w:r>
            <w:r>
              <w:t xml:space="preserve"> (Lowercase Roman Numerals)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lowercase roman numerals.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hyperlink r:id="rId22">
              <w:r>
                <w:rPr>
                  <w:rStyle w:val="Hyperlink"/>
                </w:rPr>
                <w:t>i</w:t>
              </w:r>
            </w:hyperlink>
            <w:r>
              <w:t xml:space="preserve">, ii, iii.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Numbering)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not display any numbering.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numberInDash</w:t>
            </w:r>
            <w:r>
              <w:t xml:space="preserve"> (Number With Dashes)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sequence shall consist of the Arabic </w:t>
            </w:r>
            <w:hyperlink r:id="rId17">
              <w:r>
                <w:rPr>
                  <w:rStyle w:val="Hyperlink"/>
                </w:rPr>
                <w:t>numbering</w:t>
              </w:r>
            </w:hyperlink>
            <w:r>
              <w:t xml:space="preserve"> surrounded by dash characters.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- 1 -, - 2 -, - 3 -.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ordinal</w:t>
            </w:r>
            <w:r>
              <w:t xml:space="preserve"> (Ordinal)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ordinals of the run language.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1st, 2nd, 3rd.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ordinalText</w:t>
            </w:r>
            <w:r>
              <w:t xml:space="preserve"> (Ordinal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ordinal text of the run language.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first, second, third.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russianLower</w:t>
            </w:r>
            <w:r>
              <w:t xml:space="preserve"> (Lowercase Russian Alphabet)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the letters of the Russian alphabet in lower case.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а, б, в.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russianUpper</w:t>
            </w:r>
            <w:r>
              <w:t xml:space="preserve"> (Uppercase Russian Alphabet)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the letters of the Russian alphabet in upper case.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А, Б, В.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taiwaneseCounting</w:t>
            </w:r>
            <w:r>
              <w:t xml:space="preserve"> (Taiwanese Counting System)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Taiwanese counting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一</w:t>
            </w:r>
            <w:r>
              <w:t xml:space="preserve">, </w:t>
            </w:r>
            <w:r>
              <w:t>二</w:t>
            </w:r>
            <w:r>
              <w:t xml:space="preserve">, …, </w:t>
            </w:r>
            <w:r>
              <w:t>九</w:t>
            </w:r>
            <w:r>
              <w:t xml:space="preserve">, </w:t>
            </w:r>
            <w:r>
              <w:t>十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taiwaneseCountingThousand</w:t>
            </w:r>
            <w:r>
              <w:t xml:space="preserve"> (Taiwanese Counting Thousand System)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Taiwanese counting thousand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一</w:t>
            </w:r>
            <w:r>
              <w:t xml:space="preserve">, </w:t>
            </w:r>
            <w:r>
              <w:t>二</w:t>
            </w:r>
            <w:r>
              <w:t xml:space="preserve">, …, </w:t>
            </w:r>
            <w:r>
              <w:t>九</w:t>
            </w:r>
            <w:r>
              <w:t xml:space="preserve">, </w:t>
            </w:r>
            <w:r>
              <w:t>一○</w:t>
            </w:r>
            <w:r>
              <w:t xml:space="preserve"> 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taiwaneseDigital</w:t>
            </w:r>
            <w:r>
              <w:t xml:space="preserve"> (Taiwanese Digital Counting System)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Taiwanese digital counting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一</w:t>
            </w:r>
            <w:r>
              <w:t xml:space="preserve">, </w:t>
            </w:r>
            <w:r>
              <w:t>二</w:t>
            </w:r>
            <w:r>
              <w:t xml:space="preserve">, …, </w:t>
            </w:r>
            <w:r>
              <w:t>九</w:t>
            </w:r>
            <w:r>
              <w:t xml:space="preserve">, </w:t>
            </w:r>
            <w:r>
              <w:t>一○</w:t>
            </w:r>
            <w:r>
              <w:t xml:space="preserve"> 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thaiCounting</w:t>
            </w:r>
            <w:r>
              <w:t xml:space="preserve"> (Thai Counting System)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sequential numbers from the Thai counting system.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หนึ่ง</w:t>
            </w:r>
            <w:r>
              <w:t xml:space="preserve">, </w:t>
            </w:r>
            <w:r>
              <w:t>สอง</w:t>
            </w:r>
            <w:r>
              <w:t xml:space="preserve">, </w:t>
            </w:r>
            <w:r>
              <w:t>สาม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thaiLetters</w:t>
            </w:r>
            <w:r>
              <w:t xml:space="preserve"> (Thai Letters)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Thai letters.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ก</w:t>
            </w:r>
            <w:r>
              <w:t xml:space="preserve">, </w:t>
            </w:r>
            <w:r>
              <w:t>ข</w:t>
            </w:r>
            <w:r>
              <w:t xml:space="preserve">, </w:t>
            </w:r>
            <w:r>
              <w:t>ค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thaiNumbers</w:t>
            </w:r>
            <w:r>
              <w:t xml:space="preserve"> (Thai Numerals)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Thai numerals.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</w:t>
            </w:r>
            <w:r>
              <w:t>๒</w:t>
            </w:r>
            <w:r>
              <w:t xml:space="preserve">, </w:t>
            </w:r>
            <w:r>
              <w:t>๓</w:t>
            </w:r>
            <w:r>
              <w:t xml:space="preserve">, </w:t>
            </w:r>
            <w:r>
              <w:t>๔</w:t>
            </w:r>
            <w:r>
              <w:t xml:space="preserve">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upperLetter</w:t>
            </w:r>
            <w:r>
              <w:t xml:space="preserve"> (Uppercase Latin Alphabet)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the letters of the Latin alphabet in upper case.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A, B, C.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upperRoman</w:t>
            </w:r>
            <w:r>
              <w:t xml:space="preserve"> (Uppercase Roman Numerals)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uppercase roman numerals.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I, II, III.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vietnameseCounting</w:t>
            </w:r>
            <w:r>
              <w:t xml:space="preserve"> (Vietnamese Numerals)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sequence shall consist of Vietnamese numerals.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một, hai, ba.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caption@numFmt</w:t>
            </w:r>
            <w:r>
              <w:t xml:space="preserve"> (§</w:t>
            </w:r>
            <w:fldSimple w:instr="REF bookae745c21-fe62-4e2f-91b4-08c321a95561 \r \h">
              <w:r>
                <w:t>2.15.1.16</w:t>
              </w:r>
            </w:fldSimple>
            <w:r>
              <w:t xml:space="preserve">); </w:t>
            </w:r>
            <w:r>
              <w:t>numFmt@val</w:t>
            </w:r>
            <w:r>
              <w:t xml:space="preserve"> (§</w:t>
            </w:r>
            <w:fldSimple w:instr="REF book27099d7f-b5b6-47c6-87a5-040b8ac7e36e \r \h">
              <w:r>
                <w:t>2.9.18</w:t>
              </w:r>
            </w:fldSimple>
            <w:r>
              <w:t xml:space="preserve">); </w:t>
            </w:r>
            <w:r>
              <w:t>numFmt@val</w:t>
            </w:r>
            <w:r>
              <w:t xml:space="preserve"> (§</w:t>
            </w:r>
            <w:fldSimple w:instr="REF book749558e0-10bc-4a9b-bf5a-4577d3128489 \r \h">
              <w:r>
                <w:t>2.11.17</w:t>
              </w:r>
            </w:fldSimple>
            <w:r>
              <w:t xml:space="preserve">); </w:t>
            </w:r>
            <w:r>
              <w:t>numFmt@val</w:t>
            </w:r>
            <w:r>
              <w:t xml:space="preserve"> (§</w:t>
            </w:r>
            <w:fldSimple w:instr="REF booke9e42c55-24db-4471-88c0-e720adff078e \r \h">
              <w:r>
                <w:t>2.11.18</w:t>
              </w:r>
            </w:fldSimple>
            <w:r>
              <w:t xml:space="preserve">); </w:t>
            </w:r>
            <w:r>
              <w:t>pgNumType@fmt</w:t>
            </w:r>
            <w:r>
              <w:t xml:space="preserve"> (§</w:t>
            </w:r>
            <w:fldSimple w:instr="REF booke6b3f183-de8a-4244-ab9b-7b9f164cb31b \r \h">
              <w:r>
                <w:t>2.6.12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23">
        <w:r>
          <w:rPr>
            <w:rStyle w:val="Hyperlink"/>
          </w:rPr>
          <w:t>name</w:t>
        </w:r>
      </w:hyperlink>
      <w:r>
        <w:t>="ST_NumberFormat"&gt;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value="decimal"/&gt;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value="upperRoman"/&gt;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value="lowerRoman"/&gt;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value="upperLetter"/&gt;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value="lowerLetter"/&gt;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value="ordinal"/&gt;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value="cardinalText"/&gt;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value="ordinalText"/&gt;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value="hex"/&gt;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value="chicago"/&gt;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value="ideographDigital"/&gt;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value="japaneseCounting"/&gt;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value="aiueo"/&gt;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value="iroha"/&gt;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value="decimalFullWidth"/&gt;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value="decimalHalfWidth"/&gt;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value="japaneseLegal"/&gt;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value="japaneseDigitalTenThousand"/&gt;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value="decimalEnclosedCircle"/&gt;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value="decimalFullWidth2"/&gt;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value="aiueoFullWidth"/&gt;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value="irohaFullWidth"/&gt;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value="decimalZero"/&gt;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value="bullet"/&gt;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value="ganada"/&gt;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value="chosung"/&gt;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value="decimalEnclosedFullstop"/&gt;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value="decimalEnclosedParen"/&gt;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value="decimalEnclosedCircleChinese"/&gt;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value="ideographEnclosedCircle"/&gt;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value="ideographTraditional"/&gt;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value="ideographZodiac"/&gt;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value="ideographZodiacTraditional"/&gt;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value="taiwaneseCounting"/&gt;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value="ideographLegalTraditional"/&gt;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value="taiwaneseCountingThousand"/&gt;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value="taiwaneseDigital"/&gt;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value="chineseCounting"/&gt;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value="chineseLegalSimplified"/&gt;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value="chineseCountingThousand"/&gt;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value="koreanDigital"/&gt;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value="koreanCounting"/&gt;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value="koreanLegal"/&gt;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value="koreanDigital2"/&gt;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value="vietnameseCounting"/&gt;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value="russianLower"/&gt;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value="russianUpper"/&gt;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value="numberInDash"/&gt;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value="hebrew1"/&gt;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value="hebrew2"/&gt;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value="arabicAlpha"/&gt;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value="arabicAbjad"/&gt;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value="hindiVowels"/&gt;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value="hindiConsonants"/&gt;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value="hindiNumbers"/&gt;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value="hindiCounting"/&gt;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value="thaiLetters"/&gt;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value="thaiNumbers"/&gt;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value="thaiCounting"/&gt;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35.png"></Relationship><Relationship Id="rId9" Type="http://schemas.openxmlformats.org/officeDocument/2006/relationships/image" Target="media/image536.png"></Relationship><Relationship Id="rId10" Type="http://schemas.openxmlformats.org/officeDocument/2006/relationships/image" Target="media/image537.png"></Relationship><Relationship Id="rId11" Type="http://schemas.openxmlformats.org/officeDocument/2006/relationships/image" Target="media/image538.png"></Relationship><Relationship Id="rId12" Type="http://schemas.openxmlformats.org/officeDocument/2006/relationships/image" Target="media/image539.png"></Relationship><Relationship Id="rId13" Type="http://schemas.openxmlformats.org/officeDocument/2006/relationships/image" Target="media/image540.png"></Relationship><Relationship Id="rId14" Type="http://schemas.openxmlformats.org/officeDocument/2006/relationships/image" Target="media/image541.png"></Relationship><Relationship Id="rId15" Type="http://schemas.openxmlformats.org/officeDocument/2006/relationships/image" Target="media/image542.png"></Relationship><Relationship Id="rId16" Type="http://schemas.openxmlformats.org/officeDocument/2006/relationships/hyperlink" Target="type.docx" TargetMode="External"/><Relationship Id="rId17" Type="http://schemas.openxmlformats.org/officeDocument/2006/relationships/hyperlink" Target="numbering.docx" TargetMode="External"/><Relationship Id="rId18" Type="http://schemas.openxmlformats.org/officeDocument/2006/relationships/hyperlink" Target="format.docx" TargetMode="External"/><Relationship Id="rId19" Type="http://schemas.openxmlformats.org/officeDocument/2006/relationships/hyperlink" Target="group.docx" TargetMode="External"/><Relationship Id="rId20" Type="http://schemas.openxmlformats.org/officeDocument/2006/relationships/hyperlink" Target="b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i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