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61_1" w:id="100001"/>
      <w:bookmarkStart w:name="book057e0ed0-a2ce-4ee4-a524-8509054cefab_1" w:id="100002"/>
      <w:r>
        <w:t>ST_TabTlc</w:t>
      </w:r>
      <w:r>
        <w:t xml:space="preserve"> (Custom Tab Stop Leader Character)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characters which may be used to fill in the space created by a </w:t>
      </w:r>
      <w:hyperlink r:id="rId9">
        <w:r>
          <w:rPr>
            <w:rStyle w:val="Hyperlink"/>
          </w:rPr>
          <w:t>tab</w:t>
        </w:r>
      </w:hyperlink>
      <w:r>
        <w:t xml:space="preserve"> which ends at this custom </w:t>
      </w:r>
      <w:hyperlink r:id="rId9">
        <w:r>
          <w:rPr>
            <w:rStyle w:val="Hyperlink"/>
          </w:rPr>
          <w:t>tab</w:t>
        </w:r>
      </w:hyperlink>
      <w:r>
        <w:t xml:space="preserve"> stop. The chosen character shall be repeated as required to completely fill the </w:t>
      </w:r>
      <w:hyperlink r:id="rId9">
        <w:r>
          <w:rPr>
            <w:rStyle w:val="Hyperlink"/>
          </w:rPr>
          <w:t>tab</w:t>
        </w:r>
      </w:hyperlink>
      <w:r>
        <w:t xml:space="preserve"> </w:t>
      </w:r>
      <w:hyperlink r:id="rId10">
        <w:r>
          <w:rPr>
            <w:rStyle w:val="Hyperlink"/>
          </w:rPr>
          <w:t>spacing</w:t>
        </w:r>
      </w:hyperlink>
      <w:r>
        <w:t xml:space="preserve"> generated by the </w:t>
      </w:r>
      <w:hyperlink r:id="rId9">
        <w:r>
          <w:rPr>
            <w:rStyle w:val="Hyperlink"/>
          </w:rPr>
          <w:t>tab</w:t>
        </w:r>
      </w:hyperlink>
      <w:r>
        <w:t xml:space="preserve"> character.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</w:t>
        </w:r>
      </w:hyperlink>
      <w:r>
        <w:t xml:space="preserve"> stop which should be preceded by a sequence of underscore characters, as follows:</w:t>
      </w:r>
    </w:p>
    <w:p w:rsidRDefault="00476CD1" w:rsidP="00476CD1" w:rsidR="00476CD1">
      <w:r>
        <w:t xml:space="preserve">______________Text at the </w:t>
      </w:r>
      <w:hyperlink r:id="rId9">
        <w:r>
          <w:rPr>
            <w:rStyle w:val="Hyperlink"/>
          </w:rPr>
          <w:t>tab</w:t>
        </w:r>
      </w:hyperlink>
      <w:r>
        <w:t xml:space="preserve"> stop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</w:t>
        </w:r>
      </w:hyperlink>
      <w:r>
        <w:t xml:space="preserve"> stop would have a </w:t>
      </w:r>
      <w:r>
        <w:t>leader</w:t>
      </w:r>
      <w:r>
        <w:t xml:space="preserve"> attribute value of </w:t>
      </w:r>
      <w:r>
        <w:t>underscore</w:t>
      </w:r>
      <w:r>
        <w:t xml:space="preserve">, indicating that the </w:t>
      </w:r>
      <w:hyperlink r:id="rId9">
        <w:r>
          <w:rPr>
            <w:rStyle w:val="Hyperlink"/>
          </w:rPr>
          <w:t>tab</w:t>
        </w:r>
      </w:hyperlink>
      <w:r>
        <w:t xml:space="preserve"> stop shall be preceded by underscore characters as needed to fill the </w:t>
      </w:r>
      <w:hyperlink r:id="rId9">
        <w:r>
          <w:rPr>
            <w:rStyle w:val="Hyperlink"/>
          </w:rPr>
          <w:t>tab</w:t>
        </w:r>
      </w:hyperlink>
      <w:r>
        <w:t xml:space="preserve"> spacing.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dot</w:t>
            </w:r>
            <w:r>
              <w:t xml:space="preserve"> (Dotted leader line)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leader character for this custom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a dot.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pPr>
              <w:tabs>
                <w:tab w:pos="1055" w:leader="dot" w:val="left"/>
              </w:tabs>
            </w:pPr>
            <w:r>
              <w:tab/>
            </w:r>
            <w:r>
              <w:t xml:space="preserve">Text at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stop.</w:t>
            </w:r>
          </w:p>
          <w:p w:rsidRDefault="00476CD1" w:rsidP="002E5918" w:rsidR="00476CD1"/>
          <w:p w:rsidRDefault="00476CD1" w:rsidP="002E5918" w:rsidR="00476CD1">
            <w:pPr>
              <w:tabs>
                <w:tab w:pos="590" w:val="left"/>
              </w:tabs>
            </w:pPr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heavy</w:t>
            </w:r>
            <w:r>
              <w:t xml:space="preserve"> (Heavy solid leader line)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leader character for this custom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a heavy solid line, or an underscore.</w:t>
            </w:r>
          </w:p>
          <w:p w:rsidRDefault="00476CD1" w:rsidP="002E5918" w:rsidR="00476CD1"/>
          <w:p w:rsidRDefault="00476CD1" w:rsidP="002E5918" w:rsidR="00476CD1">
            <w:r>
              <w:t xml:space="preserve">[Note: This setting is used for backwards compatibility with earlier word processors, and should be deprecated in favor of other leader characters. It may be displayed using underscores if desired. </w:t>
            </w:r>
            <w:r>
              <w:t>end note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pPr>
              <w:tabs>
                <w:tab w:pos="1055" w:leader="heavy" w:val="left"/>
              </w:tabs>
            </w:pPr>
            <w:r>
              <w:tab/>
            </w:r>
            <w:r>
              <w:t xml:space="preserve">Text at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stop.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hyphen</w:t>
            </w:r>
            <w:r>
              <w:t xml:space="preserve"> (Dashed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leader line)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leader character for this custom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a hyphen.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pPr>
              <w:tabs>
                <w:tab w:pos="1055" w:leader="hyphen" w:val="left"/>
              </w:tabs>
            </w:pPr>
            <w:r>
              <w:tab/>
            </w:r>
            <w:r>
              <w:t xml:space="preserve">Text at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stop.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middleDot</w:t>
            </w:r>
            <w:r>
              <w:t xml:space="preserve"> (Middle dot leader line)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leader character for this custom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a centered dot.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pPr>
              <w:tabs>
                <w:tab w:pos="1055" w:leader="middleDot" w:val="left"/>
              </w:tabs>
            </w:pPr>
            <w:r>
              <w:tab/>
            </w:r>
            <w:r>
              <w:t xml:space="preserve">Text at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stop.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leader)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there shall be no leader character for this custom tab.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pPr>
              <w:tabs>
                <w:tab w:pos="965" w:val="left"/>
              </w:tabs>
            </w:pPr>
            <w:r>
              <w:tab/>
            </w:r>
            <w:r>
              <w:t xml:space="preserve">Text at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stop.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underscore</w:t>
            </w:r>
            <w:r>
              <w:t xml:space="preserve"> (Solid leader line)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leader character for this custom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an underscore.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</w:t>
            </w:r>
          </w:p>
          <w:p w:rsidRDefault="00476CD1" w:rsidP="002E5918" w:rsidR="00476CD1"/>
          <w:p w:rsidRDefault="00476CD1" w:rsidP="002E5918" w:rsidR="00476CD1">
            <w:pPr>
              <w:tabs>
                <w:tab w:pos="1055" w:leader="underscore" w:val="left"/>
              </w:tabs>
            </w:pPr>
            <w:r>
              <w:tab/>
            </w:r>
            <w:r>
              <w:t xml:space="preserve">Text at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stop.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tab@leader</w:t>
            </w:r>
            <w:r>
              <w:t xml:space="preserve"> (§</w:t>
            </w:r>
            <w:fldSimple w:instr="REF book9a1557da-2b20-427a-a942-233abb7e2c36 \r \h">
              <w:r>
                <w:t>2.3.1.37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="ST_TabTlc"&gt;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value="hyphen"/&gt;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value="underscore"/&gt;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value="heavy"/&gt;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value="middleDot"/&gt;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tab.docx" TargetMode="External"/><Relationship Id="rId10" Type="http://schemas.openxmlformats.org/officeDocument/2006/relationships/hyperlink" Target="spacing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