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66_1" w:id="100001"/>
      <w:bookmarkStart w:name="book824e322e-9f40-4f17-9533-9d81f2144dd4_1" w:id="100002"/>
      <w:r>
        <w:t>ST_TblWidth</w:t>
      </w:r>
      <w:r>
        <w:t xml:space="preserve"> (Table Width Units)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the units of the width property being defined by a specific </w:t>
      </w:r>
      <w:hyperlink r:id="rId9">
        <w:r>
          <w:rPr>
            <w:rStyle w:val="Hyperlink"/>
          </w:rPr>
          <w:t>table</w:t>
        </w:r>
      </w:hyperlink>
      <w:r>
        <w:t xml:space="preserve"> width property. These properties are used to define various properties of a </w:t>
      </w:r>
      <w:hyperlink r:id="rId9">
        <w:r>
          <w:rPr>
            <w:rStyle w:val="Hyperlink"/>
          </w:rPr>
          <w:t>table</w:t>
        </w:r>
      </w:hyperlink>
      <w:r>
        <w:t xml:space="preserve">, including: cell </w:t>
      </w:r>
      <w:hyperlink r:id="rId10">
        <w:r>
          <w:rPr>
            <w:rStyle w:val="Hyperlink"/>
          </w:rPr>
          <w:t>spacing</w:t>
        </w:r>
      </w:hyperlink>
      <w:r>
        <w:t xml:space="preserve">, preferred width, and </w:t>
      </w:r>
      <w:hyperlink r:id="rId9">
        <w:r>
          <w:rPr>
            <w:rStyle w:val="Hyperlink"/>
          </w:rPr>
          <w:t>table</w:t>
        </w:r>
      </w:hyperlink>
      <w:r>
        <w:t xml:space="preserve"> margins.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with a </w:t>
      </w:r>
      <w:hyperlink r:id="rId9">
        <w:r>
          <w:rPr>
            <w:rStyle w:val="Hyperlink"/>
          </w:rPr>
          <w:t>table</w:t>
        </w:r>
      </w:hyperlink>
      <w:r>
        <w:t xml:space="preserve"> cell bottom cell </w:t>
      </w:r>
      <w:hyperlink r:id="rId10">
        <w:r>
          <w:rPr>
            <w:rStyle w:val="Hyperlink"/>
          </w:rPr>
          <w:t>spacing</w:t>
        </w:r>
      </w:hyperlink>
      <w:r>
        <w:t xml:space="preserve"> with a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of </w:t>
      </w:r>
      <w:r>
        <w:t>dxa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bottom</w:t>
        </w:r>
      </w:hyperlink>
      <w:r>
        <w:t xml:space="preserve"> ... w:</w:t>
      </w:r>
      <w:hyperlink r:id="rId8">
        <w:r>
          <w:rPr>
            <w:rStyle w:val="Hyperlink"/>
          </w:rPr>
          <w:t>type</w:t>
        </w:r>
      </w:hyperlink>
      <w:r>
        <w:t>="dxa" /&gt;</w:t>
      </w:r>
    </w:p>
    <w:p w:rsidRDefault="00476CD1" w:rsidP="00476CD1" w:rsidR="00476CD1">
      <w:r>
        <w:t xml:space="preserve">This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shall therefore be used to interpret the width specified in the </w:t>
      </w:r>
      <w:r>
        <w:t/>
      </w:r>
      <w:hyperlink r:id="rId12">
        <w:r>
          <w:rPr>
            <w:rStyle w:val="Hyperlink"/>
          </w:rPr>
          <w:t>w</w:t>
        </w:r>
      </w:hyperlink>
      <w:r>
        <w:t/>
      </w:r>
      <w:r>
        <w:t xml:space="preserve"> attribute as a value in twentieths of a point.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3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</w:t>
            </w:r>
            <w:r>
              <w:t xml:space="preserve"> (Automatically Determined Width)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value for the measurement of the current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width property in the parent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shall be automatically determined by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layout algorithm when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is displayed (this width can be adjusted as appropriate).</w:t>
            </w:r>
          </w:p>
          <w:p w:rsidRDefault="00476CD1" w:rsidP="002E5918" w:rsidR="00476CD1"/>
          <w:p w:rsidRDefault="00476CD1" w:rsidP="002E5918" w:rsidR="00476CD1">
            <w:r>
              <w:t xml:space="preserve">If this value is inappropriate for the current measurement (i.e. this measurement is not affected by that algorithm), then this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and the associated value may be ignored.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dxa</w:t>
            </w:r>
            <w:r>
              <w:t xml:space="preserve"> (Width in Twentieths of a Point)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value for the measurement of the current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width property in the parent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shall be interpreted as twentieths of a point (1/1440 of an inch).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nil</w:t>
            </w:r>
            <w:r>
              <w:t xml:space="preserve"> (No Width)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current width is zero, regardless of any width value specified on the parent element.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</w:t>
            </w:r>
            <w:r>
              <w:t xml:space="preserve"> (Width in Fiftieths of a Percent)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value for the measurement of the current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width property in the parent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shall be interpreted as fiftieths of a percent.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4975 = 99.5%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These percentages shall be calculated relative to the extents specified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 </w:t>
            </w:r>
          </w:p>
          <w:p w:rsidRDefault="00476CD1" w:rsidP="002E5918" w:rsidR="00476CD1"/>
          <w:p w:rsidRDefault="00476CD1" w:rsidP="002E5918" w:rsidR="00476CD1">
            <w:r>
              <w:t xml:space="preserve">If this value is inappropriate for the current measurement (i.e. this measurement is not part of the width of the table), then this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and the associated value may be ignored.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bottom@type</w:t>
            </w:r>
            <w:r>
              <w:t xml:space="preserve"> (§</w:t>
            </w:r>
            <w:fldSimple w:instr="REF bookab2c68c7-1de8-4cf7-ad85-7d56248ce1a3 \r \h">
              <w:r>
                <w:t>2.4.2</w:t>
              </w:r>
            </w:fldSimple>
            <w:r>
              <w:t xml:space="preserve">); </w:t>
            </w:r>
            <w:r>
              <w:t>bottom@type</w:t>
            </w:r>
            <w:r>
              <w:t xml:space="preserve"> (§</w:t>
            </w:r>
            <w:fldSimple w:instr="REF book4b60e915-5fc5-4b69-a8d4-fe9ad7a910e7 \r \h">
              <w:r>
                <w:t>2.4.5</w:t>
              </w:r>
            </w:fldSimple>
            <w:r>
              <w:t xml:space="preserve">); </w:t>
            </w:r>
            <w:r>
              <w:t>left@type</w:t>
            </w:r>
            <w:r>
              <w:t xml:space="preserve"> (§</w:t>
            </w:r>
            <w:fldSimple w:instr="REF book57e2fdf5-98fe-4a34-ba5d-bd84d62d2eb6 \r \h">
              <w:r>
                <w:t>2.4.25</w:t>
              </w:r>
            </w:fldSimple>
            <w:r>
              <w:t xml:space="preserve">); </w:t>
            </w:r>
            <w:r>
              <w:t>left@type</w:t>
            </w:r>
            <w:r>
              <w:t xml:space="preserve"> (§</w:t>
            </w:r>
            <w:fldSimple w:instr="REF book97ff2346-c0fc-4476-9082-c04ad87d9079 \r \h">
              <w:r>
                <w:t>2.4.26</w:t>
              </w:r>
            </w:fldSimple>
            <w:r>
              <w:t xml:space="preserve">); </w:t>
            </w:r>
            <w:r>
              <w:t>right@type</w:t>
            </w:r>
            <w:r>
              <w:t xml:space="preserve"> (§</w:t>
            </w:r>
            <w:fldSimple w:instr="REF book80fabe12-ea4a-43c8-b0bb-18b1aaf5f0ee \r \h">
              <w:r>
                <w:t>2.4.29</w:t>
              </w:r>
            </w:fldSimple>
            <w:r>
              <w:t xml:space="preserve">); </w:t>
            </w:r>
            <w:r>
              <w:t>right@type</w:t>
            </w:r>
            <w:r>
              <w:t xml:space="preserve"> (§</w:t>
            </w:r>
            <w:fldSimple w:instr="REF book38ec4d28-e54a-4f1c-b047-64184066a882 \r \h">
              <w:r>
                <w:t>2.4.31</w:t>
              </w:r>
            </w:fldSimple>
            <w:r>
              <w:t xml:space="preserve">); </w:t>
            </w:r>
            <w:r>
              <w:t>tblCellSpacing@type</w:t>
            </w:r>
            <w:r>
              <w:t xml:space="preserve"> (§</w:t>
            </w:r>
            <w:fldSimple w:instr="REF bookd26b67c5-d288-430d-b35f-140146cb9430 \r \h">
              <w:r>
                <w:t>2.4.41</w:t>
              </w:r>
            </w:fldSimple>
            <w:r>
              <w:t xml:space="preserve">); </w:t>
            </w:r>
            <w:r>
              <w:t>tblCellSpacing@type</w:t>
            </w:r>
            <w:r>
              <w:t xml:space="preserve"> (§</w:t>
            </w:r>
            <w:fldSimple w:instr="REF book764607ff-72ae-43d2-b587-a8ca533dd030 \r \h">
              <w:r>
                <w:t>2.4.42</w:t>
              </w:r>
            </w:fldSimple>
            <w:r>
              <w:t xml:space="preserve">); </w:t>
            </w:r>
            <w:r>
              <w:t>tblCellSpacing@type</w:t>
            </w:r>
            <w:r>
              <w:t xml:space="preserve"> (§</w:t>
            </w:r>
            <w:fldSimple w:instr="REF book3afdf531-828d-4d6e-804c-ecd2c77e4dcd \r \h">
              <w:r>
                <w:t>2.4.43</w:t>
              </w:r>
            </w:fldSimple>
            <w:r>
              <w:t xml:space="preserve">); </w:t>
            </w:r>
            <w:r>
              <w:t>tblInd@type</w:t>
            </w:r>
            <w:r>
              <w:t xml:space="preserve"> (§</w:t>
            </w:r>
            <w:fldSimple w:instr="REF bookd2abdcb5-651c-4088-81cc-45f62e307e32 \r \h">
              <w:r>
                <w:t>2.4.47</w:t>
              </w:r>
            </w:fldSimple>
            <w:r>
              <w:t xml:space="preserve">); </w:t>
            </w:r>
            <w:r>
              <w:t>tblInd@type</w:t>
            </w:r>
            <w:r>
              <w:t xml:space="preserve"> (§</w:t>
            </w:r>
            <w:fldSimple w:instr="REF bookc6f7f31e-354d-4300-9486-ec5f2dc5e4d0 \r \h">
              <w:r>
                <w:t>2.4.48</w:t>
              </w:r>
            </w:fldSimple>
            <w:r>
              <w:t xml:space="preserve">); </w:t>
            </w:r>
            <w:r>
              <w:t>tblW@type</w:t>
            </w:r>
            <w:r>
              <w:t xml:space="preserve"> (§</w:t>
            </w:r>
            <w:fldSimple w:instr="REF book84d261a5-4a72-4b5e-9d18-1096e58c3889 \r \h">
              <w:r>
                <w:t>2.4.60</w:t>
              </w:r>
            </w:fldSimple>
            <w:r>
              <w:t xml:space="preserve">); </w:t>
            </w:r>
            <w:r>
              <w:t>tblW@type</w:t>
            </w:r>
            <w:r>
              <w:t xml:space="preserve"> (§</w:t>
            </w:r>
            <w:fldSimple w:instr="REF book42c0fcb4-e49a-4816-9b05-365d63bdbcb4 \r \h">
              <w:r>
                <w:t>2.4.61</w:t>
              </w:r>
            </w:fldSimple>
            <w:r>
              <w:t xml:space="preserve">); </w:t>
            </w:r>
            <w:r>
              <w:t>tcW@type</w:t>
            </w:r>
            <w:r>
              <w:t xml:space="preserve"> (§</w:t>
            </w:r>
            <w:fldSimple w:instr="REF bookd6b22c0f-db0d-491e-a573-b915472deffb \r \h">
              <w:r>
                <w:t>2.4.68</w:t>
              </w:r>
            </w:fldSimple>
            <w:r>
              <w:t xml:space="preserve">); </w:t>
            </w:r>
            <w:r>
              <w:t>top@type</w:t>
            </w:r>
            <w:r>
              <w:t xml:space="preserve"> (§</w:t>
            </w:r>
            <w:fldSimple w:instr="REF book1597686e-afa6-48aa-a595-2f404355cb22 \r \h">
              <w:r>
                <w:t>2.4.72</w:t>
              </w:r>
            </w:fldSimple>
            <w:r>
              <w:t xml:space="preserve">); </w:t>
            </w:r>
            <w:r>
              <w:t>top@type</w:t>
            </w:r>
            <w:r>
              <w:t xml:space="preserve"> (§</w:t>
            </w:r>
            <w:fldSimple w:instr="REF bookf29007d6-06c3-4829-ace4-472acbf59b72 \r \h">
              <w:r>
                <w:t>2.4.73</w:t>
              </w:r>
            </w:fldSimple>
            <w:r>
              <w:t xml:space="preserve">); </w:t>
            </w:r>
            <w:r>
              <w:t>wAfter@type</w:t>
            </w:r>
            <w:r>
              <w:t xml:space="preserve"> (§</w:t>
            </w:r>
            <w:fldSimple w:instr="REF bookac26b0de-d009-4d05-8ab6-19aea8f81134 \r \h">
              <w:r>
                <w:t>2.4.82</w:t>
              </w:r>
            </w:fldSimple>
            <w:r>
              <w:t xml:space="preserve">); </w:t>
            </w:r>
            <w:r>
              <w:t>wBefore@type</w:t>
            </w:r>
            <w:r>
              <w:t xml:space="preserve"> (§</w:t>
            </w:r>
            <w:fldSimple w:instr="REF bookc956c2db-55ba-4bd3-aa0c-c4a05bcb9093 \r \h">
              <w:r>
                <w:t>2.4.83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value="nil"/&gt;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value="dxa"/&gt;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bottom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