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2_1" w:id="100001"/>
      <w:bookmarkStart w:name="book71a26176-6e48-4ae7-b108-6bad936262f2_1" w:id="100002"/>
      <w:r>
        <w:t>ST_Theme</w:t>
      </w:r>
      <w:r>
        <w:t xml:space="preserve"> (Theme Font)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theme font </w:t>
      </w:r>
      <w:hyperlink r:id="rId8">
        <w:r>
          <w:rPr>
            <w:rStyle w:val="Hyperlink"/>
          </w:rPr>
          <w:t>type</w:t>
        </w:r>
      </w:hyperlink>
      <w:r>
        <w:t xml:space="preserve"> which may be referenced as a theme font within the parent run properties. This theme font is a reference to one of the predefined theme </w:t>
      </w:r>
      <w:hyperlink r:id="rId9">
        <w:r>
          <w:rPr>
            <w:rStyle w:val="Hyperlink"/>
          </w:rPr>
          <w:t>fonts</w:t>
        </w:r>
      </w:hyperlink>
      <w:r>
        <w:t>, located in the document's Theme part,which allows for font information to be set centrally in the document.</w:t>
      </w:r>
    </w:p>
    <w:p w:rsidRDefault="00476CD1" w:rsidP="00476CD1" w:rsidR="00476CD1">
      <w:r>
        <w:t>[</w:t>
      </w:r>
      <w:r>
        <w:t>Example</w:t>
      </w:r>
      <w:r>
        <w:t xml:space="preserve">: Consider a run of ASCII text which shall be displayed using the </w:t>
      </w:r>
      <w:r>
        <w:t>majorASCII</w:t>
      </w:r>
      <w:r>
        <w:t xml:space="preserve"> theme font. This requirement would be specified as follows in the resulting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rFonts</w:t>
        </w:r>
      </w:hyperlink>
      <w:r>
        <w:t xml:space="preserve"> w:asciiTheme=”majorAscii” /&gt;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</w:t>
      </w:r>
      <w:r>
        <w:t>ascii</w:t>
      </w:r>
      <w:r>
        <w:t xml:space="preserve"> attribute specifies that the run shall use the </w:t>
      </w:r>
      <w:r>
        <w:t>majorAscii</w:t>
      </w:r>
      <w:r>
        <w:t xml:space="preserve"> theme font as defined in the document's themes part for all text in the ASCII range.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majorAscii</w:t>
            </w:r>
            <w:r>
              <w:t xml:space="preserve"> (Major ASCII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major theme font for the ASCII range.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majorBidi</w:t>
            </w:r>
            <w:r>
              <w:t xml:space="preserve"> (Major Complex Script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major theme font for the Complex Script range.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majorEastAsia</w:t>
            </w:r>
            <w:r>
              <w:t xml:space="preserve"> (Major East Asian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major theme font for the East Asian range.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majorHAnsi</w:t>
            </w:r>
            <w:r>
              <w:t xml:space="preserve"> (Major High ANSI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major theme font for the High ANSI range.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minorAscii</w:t>
            </w:r>
            <w:r>
              <w:t xml:space="preserve"> (Minor ASCII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minor theme font for the ASCII range.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minorBidi</w:t>
            </w:r>
            <w:r>
              <w:t xml:space="preserve"> (Minor Complex Script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minor theme font for the Complex Script range.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minorEastAsia</w:t>
            </w:r>
            <w:r>
              <w:t xml:space="preserve"> (Minor East Asian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minor theme font for the East Asian range.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minorHAnsi</w:t>
            </w:r>
            <w:r>
              <w:t xml:space="preserve"> (Minor High ANSI Theme Font)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current font is a reference to the minor theme font for the High ANSI range.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rFonts@asciiTheme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 xml:space="preserve">); </w:t>
            </w:r>
            <w:r>
              <w:t>rFonts@cstheme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 xml:space="preserve">); </w:t>
            </w:r>
            <w:r>
              <w:t>rFonts@eastAsiaTheme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 xml:space="preserve">); </w:t>
            </w:r>
            <w:r>
              <w:t>rFonts@hAnsiTheme</w:t>
            </w:r>
            <w:r>
              <w:t xml:space="preserve"> (§</w:t>
            </w:r>
            <w:fldSimple w:instr="REF bookf8dce7b3-08e6-499c-87cd-f73f1e0ec199 \r \h">
              <w:r>
                <w:t>2.3.2.24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="ST_Theme"&gt;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value="majorEastAsia"/&gt;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value="majorBidi"/&gt;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value="majorAscii"/&gt;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value="majorHAnsi"/&gt;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value="minorEastAsia"/&gt;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value="minorBidi"/&gt;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value="minorAscii"/&gt;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value="minorHAnsi"/&gt;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onts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rFonts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