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4_1" w:id="100001"/>
      <w:bookmarkStart w:name="bookcebd06a2-0116-44b3-b9dc-24a03121ac25_1" w:id="100002"/>
      <w:r>
        <w:t>ST_TwipsMeasure</w:t>
      </w:r>
      <w:r>
        <w:t xml:space="preserve"> (Measurement in Twentieths of a Point)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whole number, whose contents consist of a measurement in twentieths of a point (equivalent to 1/1440th of an inch).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720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>ST_TwipsMeasure</w:t>
      </w:r>
      <w:r>
        <w:t>. This attribute value specifies a size of one-half of an inch or 36 points (</w:t>
      </w:r>
      <w:r>
        <w:t>720</w:t>
      </w:r>
      <w:r>
        <w:t xml:space="preserve"> twentieths of a point = 36 points = 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r>
        <w:t/>
      </w:r>
      <w:hyperlink r:id="rId10">
        <w:r>
          <w:rPr>
            <w:rStyle w:val="Hyperlink"/>
          </w:rPr>
          <w:t>ST_UnsignedDecimalNumber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399f1838-3823-419c-b64f-a729c963d67a \r \h">
        <w:r>
          <w:t>2.18.108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col@space</w:t>
            </w:r>
            <w:r>
              <w:t xml:space="preserve"> (§</w:t>
            </w:r>
            <w:fldSimple w:instr="REF booka6c62846-76fc-47ff-821a-79797cf864a1 \r \h">
              <w:r>
                <w:t>2.6.3</w:t>
              </w:r>
            </w:fldSimple>
            <w:r>
              <w:t xml:space="preserve">); </w:t>
            </w:r>
            <w:r>
              <w:t>col@w</w:t>
            </w:r>
            <w:r>
              <w:t xml:space="preserve"> (§</w:t>
            </w:r>
            <w:fldSimple w:instr="REF booka6c62846-76fc-47ff-821a-79797cf864a1 \r \h">
              <w:r>
                <w:t>2.6.3</w:t>
              </w:r>
            </w:fldSimple>
            <w:r>
              <w:t xml:space="preserve">); </w:t>
            </w:r>
            <w:r>
              <w:t>cols@space</w:t>
            </w:r>
            <w:r>
              <w:t xml:space="preserve"> (§</w:t>
            </w:r>
            <w:fldSimple w:instr="REF book099ccf36-a778-4add-8abd-1a59b4863aa3 \r \h">
              <w:r>
                <w:t>2.6.4</w:t>
              </w:r>
            </w:fldSimple>
            <w:r>
              <w:t xml:space="preserve">); </w:t>
            </w:r>
            <w:r>
              <w:t>defaultTabStop@val</w:t>
            </w:r>
            <w:r>
              <w:t xml:space="preserve"> (§</w:t>
            </w:r>
            <w:fldSimple w:instr="REF bookb84fa652-660d-4679-af9c-7bda82f2aec7 \r \h">
              <w:r>
                <w:t>2.15.1.24</w:t>
              </w:r>
            </w:fldSimple>
            <w:r>
              <w:t xml:space="preserve">); </w:t>
            </w:r>
            <w:r>
              <w:t>drawingGridHorizontalOrigin@val</w:t>
            </w:r>
            <w:r>
              <w:t xml:space="preserve"> (§</w:t>
            </w:r>
            <w:fldSimple w:instr="REF bookbaa3ded7-b873-4a0e-a1c8-91e6095042e1 \r \h">
              <w:r>
                <w:t>2.15.1.43</w:t>
              </w:r>
            </w:fldSimple>
            <w:r>
              <w:t xml:space="preserve">); </w:t>
            </w:r>
            <w:r>
              <w:t>drawingGridHorizontalSpacing@val</w:t>
            </w:r>
            <w:r>
              <w:t xml:space="preserve"> (§</w:t>
            </w:r>
            <w:fldSimple w:instr="REF booka3d51cd8-7804-4b21-bcc8-707ba2d8608d \r \h">
              <w:r>
                <w:t>2.15.1.44</w:t>
              </w:r>
            </w:fldSimple>
            <w:r>
              <w:t xml:space="preserve">); </w:t>
            </w:r>
            <w:r>
              <w:t>drawingGridVerticalOrigin@val</w:t>
            </w:r>
            <w:r>
              <w:t xml:space="preserve"> (§</w:t>
            </w:r>
            <w:fldSimple w:instr="REF book826d633c-1ccd-443c-916a-4a63d49c6afb \r \h">
              <w:r>
                <w:t>2.15.1.45</w:t>
              </w:r>
            </w:fldSimple>
            <w:r>
              <w:t xml:space="preserve">); </w:t>
            </w:r>
            <w:r>
              <w:t>drawingGridVerticalSpacing@val</w:t>
            </w:r>
            <w:r>
              <w:t xml:space="preserve"> (§</w:t>
            </w:r>
            <w:fldSimple w:instr="REF booke975784d-9fb6-4018-8f63-5223d739d934 \r \h">
              <w:r>
                <w:t>2.15.1.46</w:t>
              </w:r>
            </w:fldSimple>
            <w:r>
              <w:t xml:space="preserve">); </w:t>
            </w:r>
            <w:r>
              <w:t>fitText@val</w:t>
            </w:r>
            <w:r>
              <w:t xml:space="preserve"> (§</w:t>
            </w:r>
            <w:fldSimple w:instr="REF bookc13b38b0-5d84-45e4-b5f4-f9a9ae416141 \r \h">
              <w:r>
                <w:t>2.3.2.12</w:t>
              </w:r>
            </w:fldSimple>
            <w:r>
              <w:t xml:space="preserve">); </w:t>
            </w:r>
            <w:r>
              <w:t>framePr@h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framePr@hSpace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framePr@vSpace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framePr@w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gridCol@w</w:t>
            </w:r>
            <w:r>
              <w:t xml:space="preserve"> (§</w:t>
            </w:r>
            <w:fldSimple w:instr="REF bookeb636591-b3ae-4669-8767-2501b6f49689 \r \h">
              <w:r>
                <w:t>2.4.12</w:t>
              </w:r>
            </w:fldSimple>
            <w:r>
              <w:t xml:space="preserve">); </w:t>
            </w:r>
            <w:r>
              <w:t>hyphenationZone@val</w:t>
            </w:r>
            <w:r>
              <w:t xml:space="preserve"> (§</w:t>
            </w:r>
            <w:fldSimple w:instr="REF book9944e945-20ae-48e9-ba5e-27fab180f143 \r \h">
              <w:r>
                <w:t>2.15.1.53</w:t>
              </w:r>
            </w:fldSimple>
            <w:r>
              <w:t xml:space="preserve">); </w:t>
            </w:r>
            <w:r>
              <w:t>ind@firstLine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ind@hanging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legacy@legacySpace</w:t>
            </w:r>
            <w:r>
              <w:t xml:space="preserve"> (§</w:t>
            </w:r>
            <w:fldSimple w:instr="REF book0b4ec612-46b8-4e02-81ce-ac69ff82db11 \r \h">
              <w:r>
                <w:t>2.9.5</w:t>
              </w:r>
            </w:fldSimple>
            <w:r>
              <w:t xml:space="preserve">); </w:t>
            </w:r>
            <w:r>
              <w:t>lnNumType@distance</w:t>
            </w:r>
            <w:r>
              <w:t xml:space="preserve"> (§</w:t>
            </w:r>
            <w:fldSimple w:instr="REF book2188c86a-c0e1-451a-bda4-37821eb204de \r \h">
              <w:r>
                <w:t>2.6.8</w:t>
              </w:r>
            </w:fldSimple>
            <w:r>
              <w:t xml:space="preserve">); </w:t>
            </w:r>
            <w:r>
              <w:t>object@dxaOrig</w:t>
            </w:r>
            <w:r>
              <w:t xml:space="preserve"> (§</w:t>
            </w:r>
            <w:fldSimple w:instr="REF bookd0e6e144-160f-4139-b41b-852483daf4c9 \r \h">
              <w:r>
                <w:t>2.3.3.19</w:t>
              </w:r>
            </w:fldSimple>
            <w:r>
              <w:t xml:space="preserve">); </w:t>
            </w:r>
            <w:r>
              <w:t>object@dyaOrig</w:t>
            </w:r>
            <w:r>
              <w:t xml:space="preserve"> (§</w:t>
            </w:r>
            <w:fldSimple w:instr="REF bookd0e6e144-160f-4139-b41b-852483daf4c9 \r \h">
              <w:r>
                <w:t>2.3.3.19</w:t>
              </w:r>
            </w:fldSimple>
            <w:r>
              <w:t xml:space="preserve">); </w:t>
            </w:r>
            <w:r>
              <w:t>pgMar@footer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pgMar@gutter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pgMar@header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pgMar@left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pgMar@right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pgSz@h</w:t>
            </w:r>
            <w:r>
              <w:t xml:space="preserve"> (§</w:t>
            </w:r>
            <w:fldSimple w:instr="REF bookafeb7dde-9fa2-4b6c-88b1-cbab8c5f4424 \r \h">
              <w:r>
                <w:t>2.6.13</w:t>
              </w:r>
            </w:fldSimple>
            <w:r>
              <w:t xml:space="preserve">); </w:t>
            </w:r>
            <w:r>
              <w:t>pgSz@w</w:t>
            </w:r>
            <w:r>
              <w:t xml:space="preserve"> (§</w:t>
            </w:r>
            <w:fldSimple w:instr="REF bookafeb7dde-9fa2-4b6c-88b1-cbab8c5f4424 \r \h">
              <w:r>
                <w:t>2.6.13</w:t>
              </w:r>
            </w:fldSimple>
            <w:r>
              <w:t xml:space="preserve">); </w:t>
            </w:r>
            <w:r>
              <w:t>spacing@after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spacing@before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tblpPr@bottomFromText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 xml:space="preserve">); </w:t>
            </w:r>
            <w:r>
              <w:t>tblpPr@leftFromText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 xml:space="preserve">); </w:t>
            </w:r>
            <w:r>
              <w:t>tblpPr@rightFromText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 xml:space="preserve">); </w:t>
            </w:r>
            <w:r>
              <w:t>tblpPr@topFromText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 xml:space="preserve">); </w:t>
            </w:r>
            <w:r>
              <w:t>trHeight@val</w:t>
            </w:r>
            <w:r>
              <w:t xml:space="preserve"> (§</w:t>
            </w:r>
            <w:fldSimple w:instr="REF bookd57cf6bf-7449-4396-842c-5f7169bf820a \r \h">
              <w:r>
                <w:t>2.4.77</w:t>
              </w:r>
            </w:fldSimple>
            <w:r>
              <w:t xml:space="preserve">); </w:t>
            </w:r>
            <w:r>
              <w:t>w@val</w:t>
            </w:r>
            <w:r>
              <w:t xml:space="preserve"> (§</w:t>
            </w:r>
            <w:fldSimple w:instr="REF book6640b793-1349-4524-ac7a-0a013c7bdb03 \r \h">
              <w:r>
                <w:t>2.15.2.43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</w:t>
      </w:r>
      <w:hyperlink r:id="rId10">
        <w:r>
          <w:rPr>
            <w:rStyle w:val="Hyperlink"/>
          </w:rPr>
          <w:t>ST_UnsignedDecimalNumber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UnsignedDecimalNumber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