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057_1" w:id="100001"/>
      <w:bookmarkStart w:name="_Toc129769440_1" w:id="100002"/>
      <w:bookmarkStart w:name="_Toc133914870_1" w:id="100003"/>
      <w:bookmarkStart w:name="_Toc134495664_1" w:id="100004"/>
      <w:bookmarkStart w:name="_Toc147896418_1" w:id="100005"/>
      <w:r>
        <w:t>SYMBOL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"SYMBOL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SYMBOL</w:t>
      </w:r>
      <w:r>
        <w:t xml:space="preserve"> field-argument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Retrieves the character whose code point value is specified in decimal or hexadecimal (by using a leading 0x or 0X) by </w:t>
      </w:r>
      <w:r>
        <w:t>text</w:t>
      </w:r>
      <w:r>
        <w:t xml:space="preserve"> in </w:t>
      </w:r>
      <w:r>
        <w:t>field-argument</w:t>
      </w:r>
      <w:r>
        <w:t>. The formatting switches over ride any formatting applied directly to the result.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XML</w:t>
        </w:r>
      </w:hyperlink>
      <w:r>
        <w:t xml:space="preserve"> generated for a complex field implementation shall not have the optional field value stored.</w:t>
      </w:r>
    </w:p>
    <w:p w:rsidRDefault="00476CD1" w:rsidP="00476CD1" w:rsidR="00476CD1">
      <w:r>
        <w:t>Field Value</w:t>
      </w:r>
      <w:r>
        <w:t>: The specified character.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 xml:space="preserve">es. 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1998"/>
        <w:gridCol w:w="7103"/>
      </w:tblGrid>
      <w:tr w:rsidTr="002E5918" w:rsidR="00476CD1">
        <w:tc>
          <w:tcPr>
            <w:tcW w:type="dxa" w:w="1998"/>
          </w:tcPr>
          <w:p w:rsidRDefault="00476CD1" w:rsidP="002E5918" w:rsidR="00476CD1">
            <w:r>
              <w:t>\a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Interprets </w:t>
            </w:r>
            <w:r>
              <w:t>text</w:t>
            </w:r>
            <w:r>
              <w:t xml:space="preserve"> in </w:t>
            </w:r>
            <w:r>
              <w:t>field-argument</w:t>
            </w:r>
            <w:r>
              <w:t xml:space="preserve"> as the value of an ANSI character.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\f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Interprets </w:t>
            </w:r>
            <w:r>
              <w:t>text</w:t>
            </w:r>
            <w:r>
              <w:t xml:space="preserve"> in the switch's </w:t>
            </w:r>
            <w:r>
              <w:t>field-argument</w:t>
            </w:r>
            <w:r>
              <w:t xml:space="preserve"> as the name of the font from which the character whose value is specified by </w:t>
            </w:r>
            <w:r>
              <w:t>text</w:t>
            </w:r>
            <w:r>
              <w:t xml:space="preserve"> in the field's </w:t>
            </w:r>
            <w:r>
              <w:t>field-argument</w:t>
            </w:r>
            <w:r>
              <w:t>. By default, the font used is that for the current text run.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>\h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Inserts the symbol without affecting the line </w:t>
            </w:r>
            <w:hyperlink r:id="rId9">
              <w:r>
                <w:rPr>
                  <w:rStyle w:val="Hyperlink"/>
                </w:rPr>
                <w:t>spacing</w:t>
              </w:r>
            </w:hyperlink>
            <w:r>
              <w:t xml:space="preserve"> of the paragraph. If large symbols are inserted with this switch, text above the symbol may be overwritten.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>\j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Interprets </w:t>
            </w:r>
            <w:r>
              <w:t>text</w:t>
            </w:r>
            <w:r>
              <w:t xml:space="preserve"> in </w:t>
            </w:r>
            <w:r>
              <w:t>field-argument</w:t>
            </w:r>
            <w:r>
              <w:t xml:space="preserve"> as the value of a SHIFT-JIS character.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\s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Interprets </w:t>
            </w:r>
            <w:r>
              <w:t>text</w:t>
            </w:r>
            <w:r>
              <w:t xml:space="preserve"> in the switch's </w:t>
            </w:r>
            <w:r>
              <w:t>field-argument</w:t>
            </w:r>
            <w:r>
              <w:t xml:space="preserve"> as the integral font size in points.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>\u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Interprets </w:t>
            </w:r>
            <w:r>
              <w:t>text</w:t>
            </w:r>
            <w:r>
              <w:t xml:space="preserve"> in </w:t>
            </w:r>
            <w:r>
              <w:t>field-argument</w:t>
            </w:r>
            <w:r>
              <w:t xml:space="preserve"> as the value of a Unicode character.</w:t>
            </w:r>
          </w:p>
        </w:tc>
      </w:tr>
    </w:tbl>
    <w:p w:rsidRDefault="00476CD1" w:rsidP="00476CD1" w:rsidR="00476CD1">
      <w:r>
        <w:t xml:space="preserve"> </w:t>
      </w:r>
    </w:p>
    <w:p w:rsidRDefault="00476CD1" w:rsidP="00476CD1" w:rsidR="00476CD1">
      <w:r>
        <w:t>[</w:t>
      </w:r>
      <w:r>
        <w:t>Example</w:t>
      </w:r>
      <w:r>
        <w:t>: Consider the case in which the following fields are updated:</w:t>
      </w:r>
    </w:p>
    <w:p w:rsidRDefault="00476CD1" w:rsidP="00476CD1" w:rsidR="00476CD1">
      <w:pPr>
        <w:pStyle w:val="c"/>
      </w:pPr>
      <w:r>
        <w:t>SYMBOL 65</w:t>
      </w:r>
      <w:r>
        <w:br/>
      </w:r>
      <w:r>
        <w:t>SYMBOL 66 \a</w:t>
      </w:r>
      <w:r>
        <w:br/>
      </w:r>
      <w:r>
        <w:t>SYMBOL 67 \u</w:t>
      </w:r>
      <w:r>
        <w:br/>
      </w:r>
      <w:r>
        <w:t>SYMBOL 0x20ac \u</w:t>
      </w:r>
      <w:r>
        <w:br/>
      </w:r>
      <w:r>
        <w:t>SYMBOL 68</w:t>
      </w:r>
      <w:r>
        <w:br/>
      </w:r>
      <w:r>
        <w:t>SYMBOL 68 \f Symbol</w:t>
      </w:r>
      <w:r>
        <w:br/>
      </w:r>
      <w:r>
        <w:t>SYMBOL 40 \f Wingdings \s 24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</w:pPr>
      <w:r>
        <w:t>A</w:t>
      </w:r>
      <w:r>
        <w:br/>
      </w:r>
      <w:r>
        <w:t>B</w:t>
      </w:r>
      <w:r>
        <w:br/>
      </w:r>
      <w:r>
        <w:t>C</w:t>
      </w:r>
      <w:r>
        <w:br/>
      </w:r>
      <w:r>
        <w:t>€</w:t>
      </w:r>
      <w:r>
        <w:br/>
      </w:r>
      <w:r>
        <w:t>D</w:t>
      </w:r>
      <w:r>
        <w:br/>
      </w:r>
      <w:r>
        <w:sym w:char="F044" w:font="Symbol"/>
      </w:r>
      <w:r>
        <w:br/>
      </w:r>
      <w:r>
        <w:sym w:char="F028" w:font="Wingdings"/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spacing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