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51481_1" w:id="100001"/>
      <w:bookmarkStart w:name="_Toc129769447_1" w:id="100002"/>
      <w:bookmarkStart w:name="_Toc133914877_1" w:id="100003"/>
      <w:bookmarkStart w:name="_Toc134495671_1" w:id="100004"/>
      <w:bookmarkStart w:name="_Toc147896425_1" w:id="100005"/>
      <w:r>
        <w:t>TOC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"TOC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TOC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Builds a </w:t>
      </w:r>
      <w:hyperlink r:id="rId8">
        <w:r>
          <w:rPr>
            <w:rStyle w:val="Hyperlink"/>
          </w:rPr>
          <w:t>table</w:t>
        </w:r>
      </w:hyperlink>
      <w:r>
        <w:t xml:space="preserve"> of contents (which can also be a </w:t>
      </w:r>
      <w:hyperlink r:id="rId8">
        <w:r>
          <w:rPr>
            <w:rStyle w:val="Hyperlink"/>
          </w:rPr>
          <w:t>table</w:t>
        </w:r>
      </w:hyperlink>
      <w:r>
        <w:t xml:space="preserve"> of figures) using the entries specified by </w:t>
      </w:r>
      <w:hyperlink r:id="rId9">
        <w:r>
          <w:rPr>
            <w:rStyle w:val="Hyperlink"/>
          </w:rPr>
          <w:t>TC</w:t>
        </w:r>
      </w:hyperlink>
      <w:r>
        <w:t xml:space="preserve"> fields (§</w:t>
      </w:r>
      <w:fldSimple w:instr=" REF _Ref125522273 \r \h ">
        <w:r>
          <w:t>2.16.5.70</w:t>
        </w:r>
      </w:fldSimple>
      <w:r>
        <w:t xml:space="preserve">), their heading levels, and specified </w:t>
      </w:r>
      <w:hyperlink r:id="rId10">
        <w:r>
          <w:rPr>
            <w:rStyle w:val="Hyperlink"/>
          </w:rPr>
          <w:t>styles</w:t>
        </w:r>
      </w:hyperlink>
      <w:r>
        <w:t xml:space="preserve">, and inserts that </w:t>
      </w:r>
      <w:hyperlink r:id="rId8">
        <w:r>
          <w:rPr>
            <w:rStyle w:val="Hyperlink"/>
          </w:rPr>
          <w:t>table</w:t>
        </w:r>
      </w:hyperlink>
      <w:r>
        <w:t xml:space="preserve"> at this place in the document. Each </w:t>
      </w:r>
      <w:hyperlink r:id="rId8">
        <w:r>
          <w:rPr>
            <w:rStyle w:val="Hyperlink"/>
          </w:rPr>
          <w:t>table</w:t>
        </w:r>
      </w:hyperlink>
      <w:r>
        <w:t xml:space="preserve"> entry is a separate paragraph.</w:t>
      </w:r>
    </w:p>
    <w:p w:rsidRDefault="00476CD1" w:rsidP="00476CD1" w:rsidR="00476CD1">
      <w:r>
        <w:t>Field Value</w:t>
      </w:r>
      <w:r>
        <w:t xml:space="preserve">: The </w:t>
      </w:r>
      <w:hyperlink r:id="rId8">
        <w:r>
          <w:rPr>
            <w:rStyle w:val="Hyperlink"/>
          </w:rPr>
          <w:t>table</w:t>
        </w:r>
      </w:hyperlink>
      <w:r>
        <w:t xml:space="preserve"> of contents.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\a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captioned items, but omits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labels and numbers. The identifier designated by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 xml:space="preserve"> corresponds to the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label.</w:t>
            </w:r>
          </w:p>
          <w:p w:rsidRDefault="00476CD1" w:rsidP="002E5918" w:rsidR="00476CD1">
            <w:r>
              <w:t xml:space="preserve">Use </w:t>
            </w:r>
            <w:r>
              <w:t>\c </w:t>
            </w:r>
            <w:r>
              <w:t xml:space="preserve">to build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</w:t>
            </w:r>
            <w:hyperlink r:id="rId12">
              <w:r>
                <w:rPr>
                  <w:rStyle w:val="Hyperlink"/>
                </w:rPr>
                <w:t>captions</w:t>
              </w:r>
            </w:hyperlink>
            <w:r>
              <w:t xml:space="preserve"> with labels and numbers.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\b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Includes entries only from the portion of the document marked by the bookmark named by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figures, tables, charts, and other items that are numbered by a </w:t>
            </w:r>
            <w:r>
              <w:t/>
            </w:r>
            <w:hyperlink r:id="rId13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 (§</w:t>
            </w:r>
            <w:fldSimple w:instr=" REF _Ref124060653 \r \h ">
              <w:r>
                <w:t>2.16.5.63</w:t>
              </w:r>
            </w:fldSimple>
            <w:r>
              <w:t xml:space="preserve">). The sequence identifier designated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, which corresponds to the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label, shall match the identifier in the corresponding </w:t>
            </w:r>
            <w:r>
              <w:t/>
            </w:r>
            <w:hyperlink r:id="rId13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When used with </w:t>
            </w:r>
            <w:r>
              <w:t>\s</w:t>
            </w:r>
            <w:r>
              <w:t>, the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 xml:space="preserve"> defines the </w:t>
            </w:r>
            <w:hyperlink r:id="rId14">
              <w:r>
                <w:rPr>
                  <w:rStyle w:val="Hyperlink"/>
                </w:rPr>
                <w:t>separator</w:t>
              </w:r>
            </w:hyperlink>
            <w:r>
              <w:t xml:space="preserve"> </w:t>
            </w:r>
            <w:hyperlink r:id="rId15">
              <w:r>
                <w:rPr>
                  <w:rStyle w:val="Hyperlink"/>
                </w:rPr>
                <w:t>between</w:t>
              </w:r>
            </w:hyperlink>
            <w:r>
              <w:t xml:space="preserve"> sequence and page numbers. The default </w:t>
            </w:r>
            <w:hyperlink r:id="rId14">
              <w:r>
                <w:rPr>
                  <w:rStyle w:val="Hyperlink"/>
                </w:rPr>
                <w:t>separator</w:t>
              </w:r>
            </w:hyperlink>
            <w:r>
              <w:t xml:space="preserve"> is a hyphen (-).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only those </w:t>
            </w:r>
            <w:r>
              <w:t/>
            </w:r>
            <w:hyperlink r:id="rId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fields whose identifier exactly matches 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(which is typically a letter).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Makes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contents entries hyperlinks.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Includes </w:t>
            </w:r>
            <w:r>
              <w:t/>
            </w:r>
            <w:hyperlink r:id="rId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fields that assign entries to one of the levels specified by </w:t>
            </w:r>
            <w:r>
              <w:t>text</w:t>
            </w:r>
            <w:r>
              <w:t xml:space="preserve"> in this switch's </w:t>
            </w:r>
            <w:r>
              <w:t xml:space="preserve">field-argument </w:t>
            </w:r>
            <w:r>
              <w:t xml:space="preserve">as a range having the form </w:t>
            </w:r>
            <w:r>
              <w:t>startLevel</w:t>
            </w:r>
            <w:r>
              <w:t>-</w:t>
            </w:r>
            <w:r>
              <w:t>endLevel</w:t>
            </w:r>
            <w:r>
              <w:t xml:space="preserve">, where </w:t>
            </w:r>
            <w:r>
              <w:t>startLevel</w:t>
            </w:r>
            <w:r>
              <w:t xml:space="preserve"> and </w:t>
            </w:r>
            <w:r>
              <w:t>endLevel</w:t>
            </w:r>
            <w:r>
              <w:t xml:space="preserve"> are integers, and </w:t>
            </w:r>
            <w:r>
              <w:t>startLevel</w:t>
            </w:r>
            <w:r>
              <w:t xml:space="preserve"> has a value equal-to or less-than </w:t>
            </w:r>
            <w:r>
              <w:t>endLevel</w:t>
            </w:r>
            <w:r>
              <w:t xml:space="preserve">. </w:t>
            </w:r>
            <w:r>
              <w:t/>
            </w:r>
            <w:hyperlink r:id="rId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fields that assign entries to lower levels are skipped.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\n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Without </w:t>
            </w:r>
            <w:r>
              <w:t>field-argument</w:t>
            </w:r>
            <w:r>
              <w:t xml:space="preserve">, omits page numbers from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contents. Page numbers are omitted from all levels unless a range of entry levels is specified by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>. A range is specified as for </w:t>
            </w:r>
            <w:r>
              <w:t>\l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\o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Uses paragraphs formatted with all or the specified range of built-in heading styles. Headings in a style range are specified by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 xml:space="preserve"> using the notation specified as for </w:t>
            </w:r>
            <w:r>
              <w:t>\l</w:t>
            </w:r>
            <w:r>
              <w:t xml:space="preserve">, where each integer corresponds to the style with a style ID of HeadingX (e.g. </w:t>
            </w:r>
            <w:r>
              <w:t>1</w:t>
            </w:r>
            <w:r>
              <w:t xml:space="preserve"> corresponds to </w:t>
            </w:r>
            <w:r>
              <w:t>Heading1</w:t>
            </w:r>
            <w:r>
              <w:t>). If no heading range is specified, all heading levels used in the document are listed.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\p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sequence of characters that separate an entry and its page number. The default is a </w:t>
            </w:r>
            <w:hyperlink r:id="rId16">
              <w:r>
                <w:rPr>
                  <w:rStyle w:val="Hyperlink"/>
                </w:rPr>
                <w:t>tab</w:t>
              </w:r>
            </w:hyperlink>
            <w:r>
              <w:t xml:space="preserve"> with leader dots.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For entries numbered with a </w:t>
            </w:r>
            <w:r>
              <w:t/>
            </w:r>
            <w:hyperlink r:id="rId13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 (§</w:t>
            </w:r>
            <w:fldSimple w:instr=" REF _Ref124060653 \r \h ">
              <w:r>
                <w:t>2.16.5.63</w:t>
              </w:r>
            </w:fldSimple>
            <w:r>
              <w:t xml:space="preserve">), adds a prefix to the page number. The prefix depends on the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of entry.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shall match the identifier in the </w:t>
            </w:r>
            <w:r>
              <w:t/>
            </w:r>
            <w:hyperlink r:id="rId13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\t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Uses paragraphs formatted with </w:t>
            </w:r>
            <w:hyperlink r:id="rId10">
              <w:r>
                <w:rPr>
                  <w:rStyle w:val="Hyperlink"/>
                </w:rPr>
                <w:t>styles</w:t>
              </w:r>
            </w:hyperlink>
            <w:r>
              <w:t xml:space="preserve"> other than the built-in heading styles.</w:t>
            </w:r>
            <w:r>
              <w:t xml:space="preserve"> 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those </w:t>
            </w:r>
            <w:hyperlink r:id="rId10">
              <w:r>
                <w:rPr>
                  <w:rStyle w:val="Hyperlink"/>
                </w:rPr>
                <w:t>styles</w:t>
              </w:r>
            </w:hyperlink>
            <w:r>
              <w:t xml:space="preserve"> as a set of comma-separated doublets, with each doublet being a comma-separated set of style name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content level. </w:t>
            </w:r>
            <w:r>
              <w:t>\t</w:t>
            </w:r>
            <w:r>
              <w:t> can be combined with </w:t>
            </w:r>
            <w:r>
              <w:t>\o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\u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Uses the applied paragraph </w:t>
            </w:r>
            <w:hyperlink r:id="rId18">
              <w:r>
                <w:rPr>
                  <w:rStyle w:val="Hyperlink"/>
                </w:rPr>
                <w:t>outline</w:t>
              </w:r>
            </w:hyperlink>
            <w:r>
              <w:t xml:space="preserve"> level.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\w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Preserves </w:t>
            </w:r>
            <w:hyperlink r:id="rId16">
              <w:r>
                <w:rPr>
                  <w:rStyle w:val="Hyperlink"/>
                </w:rPr>
                <w:t>tab</w:t>
              </w:r>
            </w:hyperlink>
            <w:r>
              <w:t xml:space="preserve"> entries within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entries.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\x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Preserves newline characters within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entries.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\z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Hides </w:t>
            </w:r>
            <w:hyperlink r:id="rId16">
              <w:r>
                <w:rPr>
                  <w:rStyle w:val="Hyperlink"/>
                </w:rPr>
                <w:t>tab</w:t>
              </w:r>
            </w:hyperlink>
            <w:r>
              <w:t xml:space="preserve"> leader and page numbers in Web layout view.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The index produced using the corresponding set of index entries and the field </w:t>
      </w:r>
      <w:r>
        <w:t>TOC \o "3-3" \h \z \t  "Heading 1,1,Heading 2,2,Appendix 1,1,Appendix 2,2,Unnumbered Heading,1"</w:t>
      </w:r>
      <w:r>
        <w:t xml:space="preserve"> is:</w:t>
      </w:r>
    </w:p>
    <w:p w:rsidRDefault="00476CD1" w:rsidP="00476CD1" w:rsidR="00476CD1">
      <w:r>
        <w:t>1. Introduction</w:t>
      </w:r>
      <w:r>
        <w:tab/>
      </w:r>
      <w:r>
        <w:t>…………………………………</w:t>
      </w:r>
      <w:r>
        <w:tab/>
      </w:r>
      <w:r>
        <w:t>1</w:t>
      </w:r>
    </w:p>
    <w:p w:rsidRDefault="00476CD1" w:rsidP="00476CD1" w:rsidR="00476CD1">
      <w:r>
        <w:t>2. Syntax……………………………….………..</w:t>
      </w:r>
      <w:r>
        <w:tab/>
      </w:r>
      <w:r>
        <w:t>2</w:t>
      </w:r>
    </w:p>
    <w:p w:rsidRDefault="00476CD1" w:rsidP="00476CD1" w:rsidR="00476CD1">
      <w:r>
        <w:t xml:space="preserve">3. </w:t>
      </w:r>
      <w:hyperlink r:id="rId19">
        <w:r>
          <w:rPr>
            <w:rStyle w:val="Hyperlink"/>
          </w:rPr>
          <w:t>XML</w:t>
        </w:r>
      </w:hyperlink>
      <w:r>
        <w:t xml:space="preserve"> representation………………………….</w:t>
      </w:r>
      <w:r>
        <w:tab/>
      </w:r>
      <w:r>
        <w:t>4</w:t>
      </w:r>
    </w:p>
    <w:p w:rsidRDefault="00476CD1" w:rsidP="00476CD1" w:rsidR="00476CD1">
      <w:r>
        <w:t>4. Formulas and expressions……………………</w:t>
      </w:r>
      <w:r>
        <w:tab/>
      </w:r>
      <w:r>
        <w:t>6</w:t>
      </w:r>
    </w:p>
    <w:p w:rsidRDefault="00476CD1" w:rsidP="00476CD1" w:rsidR="00476CD1">
      <w:r>
        <w:t>4.1 Constants……………………………………</w:t>
      </w:r>
      <w:r>
        <w:tab/>
      </w:r>
      <w:r>
        <w:t>6</w:t>
      </w:r>
    </w:p>
    <w:p w:rsidRDefault="00476CD1" w:rsidP="00476CD1" w:rsidR="00476CD1">
      <w:r>
        <w:t>4.2 Bookmarks………………………….............</w:t>
      </w:r>
      <w:r>
        <w:tab/>
      </w:r>
      <w:r>
        <w:t>6</w:t>
      </w:r>
    </w:p>
    <w:p w:rsidRDefault="00476CD1" w:rsidP="00476CD1" w:rsidR="00476CD1">
      <w:r>
        <w:t>4.3 Operators…….……………………………..</w:t>
      </w:r>
      <w:r>
        <w:tab/>
      </w:r>
      <w:r>
        <w:t>6</w:t>
      </w:r>
    </w:p>
    <w:p w:rsidRDefault="00476CD1" w:rsidP="00476CD1" w:rsidR="00476CD1">
      <w:r>
        <w:t>4.4 Functions……………………………………</w:t>
      </w:r>
      <w:r>
        <w:tab/>
      </w:r>
      <w:r>
        <w:t>7</w:t>
      </w:r>
    </w:p>
    <w:p w:rsidRDefault="00476CD1" w:rsidP="00476CD1" w:rsidR="00476CD1">
      <w:r>
        <w:t>4.5 Table cell references………………………..</w:t>
      </w:r>
      <w:r>
        <w:tab/>
      </w:r>
      <w:r>
        <w:t>8</w:t>
      </w:r>
    </w:p>
    <w:p w:rsidRDefault="00476CD1" w:rsidP="00476CD1" w:rsidR="00476CD1">
      <w:r>
        <w:t>…</w:t>
      </w:r>
    </w:p>
    <w:p w:rsidRDefault="00476CD1" w:rsidP="00476CD1" w:rsidR="00476CD1">
      <w:r>
        <w:t>Annex A. Index…………………………………</w:t>
      </w:r>
      <w:r>
        <w:tab/>
      </w:r>
      <w:r>
        <w:t>12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C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caption.docx" TargetMode="External"/><Relationship Id="rId12" Type="http://schemas.openxmlformats.org/officeDocument/2006/relationships/hyperlink" Target="captions.docx" TargetMode="External"/><Relationship Id="rId13" Type="http://schemas.openxmlformats.org/officeDocument/2006/relationships/hyperlink" Target="SEQ.docx" TargetMode="External"/><Relationship Id="rId14" Type="http://schemas.openxmlformats.org/officeDocument/2006/relationships/hyperlink" Target="separator.docx" TargetMode="External"/><Relationship Id="rId15" Type="http://schemas.openxmlformats.org/officeDocument/2006/relationships/hyperlink" Target="between.docx" TargetMode="External"/><Relationship Id="rId16" Type="http://schemas.openxmlformats.org/officeDocument/2006/relationships/hyperlink" Target="tab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outline.docx" TargetMode="External"/><Relationship Id="rId19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