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36_1" w:id="100001"/>
      <w:bookmarkStart w:name="book2fefb247-3d70-4538-a9c8-77626690e0bb_1" w:id="100002"/>
      <w:r>
        <w:t>annotationRef</w:t>
      </w:r>
      <w:r>
        <w:t xml:space="preserve"> (Comment Information Block)</w:t>
      </w:r>
      <w:bookmarkEnd w:id="100001"/>
    </w:p>
    <w:bookmarkEnd w:id="100002"/>
    <w:p w:rsidRDefault="00476CD1" w:rsidP="00476CD1" w:rsidR="00476CD1">
      <w:r>
        <w:t xml:space="preserve">This element specifies the presence of an annotation reference mark at the current location in the comment. An </w:t>
      </w:r>
      <w:r>
        <w:t>annotation reference mark</w:t>
      </w:r>
      <w:r>
        <w:t xml:space="preserve"> is an information block that represents the metadata about the current </w:t>
      </w:r>
      <w:hyperlink r:id="rId9">
        <w:r>
          <w:rPr>
            <w:rStyle w:val="Hyperlink"/>
          </w:rPr>
          <w:t>comment</w:t>
        </w:r>
      </w:hyperlink>
      <w:r>
        <w:t xml:space="preserve"> within the document. This annotation reference mark should typically consist of the initials and a unique integer associated with its </w:t>
      </w:r>
      <w:hyperlink r:id="rId10">
        <w:r>
          <w:rPr>
            <w:rStyle w:val="Hyperlink"/>
          </w:rPr>
          <w:t>position</w:t>
        </w:r>
      </w:hyperlink>
      <w:r>
        <w:t xml:space="preserve"> in the document, but may be displayed in any desired format.</w:t>
      </w:r>
    </w:p>
    <w:p w:rsidRDefault="00476CD1" w:rsidP="00476CD1" w:rsidR="00476CD1">
      <w:r>
        <w:t xml:space="preserve">If this element is omitted from a single comment's contents, then an annotation reference mark may be added at the </w:t>
      </w:r>
      <w:hyperlink r:id="rId11">
        <w:r>
          <w:rPr>
            <w:rStyle w:val="Hyperlink"/>
          </w:rPr>
          <w:t>start</w:t>
        </w:r>
      </w:hyperlink>
      <w:r>
        <w:t xml:space="preserve"> of the </w:t>
      </w:r>
      <w:hyperlink r:id="rId9">
        <w:r>
          <w:rPr>
            <w:rStyle w:val="Hyperlink"/>
          </w:rPr>
          <w:t>comment</w:t>
        </w:r>
      </w:hyperlink>
      <w:r>
        <w:t xml:space="preserve"> in reading order (right in a right-to-left paragraph or left in a left-to-right paragraph). As well, an annotation reference mark may be relocated as desired within a comment's content.</w:t>
      </w:r>
    </w:p>
    <w:p w:rsidRDefault="00476CD1" w:rsidP="00476CD1" w:rsidR="00476CD1">
      <w:r>
        <w:t>[</w:t>
      </w:r>
      <w:r>
        <w:t>Example</w:t>
      </w:r>
      <w:r>
        <w:t xml:space="preserve">: Consider a document with text with an annotated </w:t>
      </w:r>
      <w:hyperlink r:id="rId9">
        <w:r>
          <w:rPr>
            <w:rStyle w:val="Hyperlink"/>
          </w:rPr>
          <w:t>comment</w:t>
        </w:r>
      </w:hyperlink>
      <w:r>
        <w:t xml:space="preserve"> as follows:</w:t>
      </w:r>
    </w:p>
    <w:p w:rsidRDefault="00476CD1" w:rsidP="00476CD1" w:rsidR="00476CD1">
      <w:r>
        <w:drawing>
          <wp:inline distR="0" distL="0" distB="0" distT="0">
            <wp:extent cy="480695" cx="1376045"/>
            <wp:effectExtent b="0" r="0" t="0" l="0"/>
            <wp:docPr name="Picture 1" id="8738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80695" cx="13760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comment</w:t>
        </w:r>
      </w:hyperlink>
      <w:r>
        <w:t xml:space="preserve"> is represented as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comment</w:t>
        </w:r>
      </w:hyperlink>
      <w:r>
        <w:t xml:space="preserve"> … w:initials="User"&gt;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  <w:ind w:left="0"/>
      </w:pP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&lt;w:annotationRef /&gt;</w:t>
      </w:r>
    </w:p>
    <w:p w:rsidRDefault="00476CD1" w:rsidP="00476CD1" w:rsidR="00476CD1">
      <w:pPr>
        <w:pStyle w:val="c"/>
      </w:pPr>
      <w:r>
        <w:t xml:space="preserve">    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comment</w:t>
        </w:r>
      </w:hyperlink>
      <w:r>
        <w:t>&gt;</w:t>
      </w:r>
    </w:p>
    <w:p w:rsidRDefault="00476CD1" w:rsidP="00476CD1" w:rsidR="00476CD1">
      <w:r>
        <w:t xml:space="preserve">The </w:t>
      </w:r>
      <w:r>
        <w:t>annotationRef</w:t>
      </w:r>
      <w:r>
        <w:t xml:space="preserve"> element specifies that the </w:t>
      </w:r>
      <w:hyperlink r:id="rId9">
        <w:r>
          <w:rPr>
            <w:rStyle w:val="Hyperlink"/>
          </w:rPr>
          <w:t>comment</w:t>
        </w:r>
      </w:hyperlink>
      <w:r>
        <w:t xml:space="preserve"> shall </w:t>
      </w:r>
      <w:hyperlink r:id="rId11">
        <w:r>
          <w:rPr>
            <w:rStyle w:val="Hyperlink"/>
          </w:rPr>
          <w:t>start</w:t>
        </w:r>
      </w:hyperlink>
      <w:r>
        <w:t xml:space="preserve"> with an annotation reference mark. In this example, this mark is displayed as a combination of the user initial, </w:t>
      </w:r>
      <w:r>
        <w:t>User</w:t>
      </w:r>
      <w:r>
        <w:t xml:space="preserve">, and a unique sequential number, </w:t>
      </w:r>
      <w:r>
        <w:t>1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2.png"></Relationship><Relationship Id="rId9" Type="http://schemas.openxmlformats.org/officeDocument/2006/relationships/hyperlink" Target="comment.docx" TargetMode="External"/><Relationship Id="rId10" Type="http://schemas.openxmlformats.org/officeDocument/2006/relationships/hyperlink" Target="position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