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594_1" w:id="100001"/>
      <w:bookmarkStart w:name="book4f9bc654-1a0d-4662-b28f-1c5b04ed2e00_1" w:id="100002"/>
      <w:r>
        <w:t>background</w:t>
      </w:r>
      <w:r>
        <w:t xml:space="preserve"> (Document Background)</w:t>
      </w:r>
      <w:bookmarkEnd w:id="100001"/>
    </w:p>
    <w:bookmarkEnd w:id="100002"/>
    <w:p w:rsidRDefault="00476CD1" w:rsidP="00476CD1" w:rsidR="00476CD1">
      <w:r>
        <w:t>This element specifies the background information for this document. This background shall be displayed on all pages of the document, behind all other document content.</w:t>
      </w:r>
    </w:p>
    <w:p w:rsidRDefault="00476CD1" w:rsidP="00476CD1" w:rsidR="00476CD1">
      <w:r>
        <w:t xml:space="preserve">The child elements of the </w:t>
      </w:r>
      <w:r>
        <w:t>background</w:t>
      </w:r>
      <w:r>
        <w:t xml:space="preserve"> element are in the Vector Markup Language (VML) namespace, which allows any valid VML </w:t>
      </w:r>
      <w:hyperlink r:id="rId9">
        <w:r>
          <w:rPr>
            <w:rStyle w:val="Hyperlink"/>
          </w:rPr>
          <w:t>effect</w:t>
        </w:r>
      </w:hyperlink>
      <w:r>
        <w:t xml:space="preserve"> to be applied to the document's background. </w:t>
      </w:r>
    </w:p>
    <w:p w:rsidRDefault="00476CD1" w:rsidP="00476CD1" w:rsidR="00476CD1">
      <w:r>
        <w:t xml:space="preserve">For solid </w:t>
      </w:r>
      <w:hyperlink r:id="rId10">
        <w:r>
          <w:rPr>
            <w:rStyle w:val="Hyperlink"/>
          </w:rPr>
          <w:t>color</w:t>
        </w:r>
      </w:hyperlink>
      <w:r>
        <w:t xml:space="preserve"> fill backgrounds, however, the attributes on this element allow for the specification of use of any valid RGB or theme </w:t>
      </w:r>
      <w:hyperlink r:id="rId10">
        <w:r>
          <w:rPr>
            <w:rStyle w:val="Hyperlink"/>
          </w:rPr>
          <w:t>color</w:t>
        </w:r>
      </w:hyperlink>
      <w:r>
        <w:t xml:space="preserve"> value (the latter a reference to the document's themes part). </w:t>
      </w:r>
    </w:p>
    <w:p w:rsidRDefault="00476CD1" w:rsidP="00476CD1" w:rsidR="00476CD1">
      <w:r>
        <w:t>[</w:t>
      </w:r>
      <w:r>
        <w:t>Example</w:t>
      </w:r>
      <w:r>
        <w:t xml:space="preserve">: Consider a document which utilizes a gradient fill background moving </w:t>
      </w:r>
      <w:hyperlink r:id="rId11">
        <w:r>
          <w:rPr>
            <w:rStyle w:val="Hyperlink"/>
          </w:rPr>
          <w:t>between</w:t>
        </w:r>
      </w:hyperlink>
      <w:r>
        <w:t xml:space="preserve"> black and the accent5 theme </w:t>
      </w:r>
      <w:hyperlink r:id="rId10">
        <w:r>
          <w:rPr>
            <w:rStyle w:val="Hyperlink"/>
          </w:rPr>
          <w:t>color</w:t>
        </w:r>
      </w:hyperlink>
      <w:r>
        <w:t>, as follows:</w:t>
      </w:r>
    </w:p>
    <w:p w:rsidRDefault="00476CD1" w:rsidP="00476CD1" w:rsidR="00476CD1">
      <w:r>
        <w:drawing>
          <wp:inline distR="0" distL="0" distB="0" distT="0">
            <wp:extent cy="2404110" cx="3195955"/>
            <wp:effectExtent b="0" r="0" t="0" l="0"/>
            <wp:docPr name="Picture 3" id="3091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04110" cx="319595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This background would require the following WordprocessingML markup:</w:t>
      </w:r>
    </w:p>
    <w:p w:rsidRDefault="00476CD1" w:rsidP="00476CD1" w:rsidR="00476CD1">
      <w:pPr>
        <w:pStyle w:val="c"/>
      </w:pPr>
      <w:r>
        <w:t>&lt;w:background w:</w:t>
      </w:r>
      <w:hyperlink r:id="rId10">
        <w:r>
          <w:rPr>
            <w:rStyle w:val="Hyperlink"/>
          </w:rPr>
          <w:t>color</w:t>
        </w:r>
      </w:hyperlink>
      <w:r>
        <w:t>="9BBB59" w:themeColor="accent3"&gt;</w:t>
      </w:r>
    </w:p>
    <w:p w:rsidRDefault="00476CD1" w:rsidP="00476CD1" w:rsidR="00476CD1">
      <w:pPr>
        <w:pStyle w:val="c"/>
      </w:pPr>
      <w:r>
        <w:t xml:space="preserve">  &lt;v:background </w:t>
      </w:r>
      <w:hyperlink r:id="rId12">
        <w:r>
          <w:rPr>
            <w:rStyle w:val="Hyperlink"/>
          </w:rPr>
          <w:t>id</w:t>
        </w:r>
      </w:hyperlink>
      <w:r>
        <w:t>="_x0000_s1025" o:bwmode="white" fillcolor="#9bbb59 [3206]" o:targetscreensize="800,600"&gt;</w:t>
      </w:r>
    </w:p>
    <w:p w:rsidRDefault="00476CD1" w:rsidP="00476CD1" w:rsidR="00476CD1">
      <w:pPr>
        <w:pStyle w:val="c"/>
      </w:pPr>
      <w:r>
        <w:t xml:space="preserve">    &lt;v:fill color2="fill darken(118)" method="linear sigma" focus="100%" </w:t>
      </w:r>
      <w:hyperlink r:id="rId13">
        <w:r>
          <w:rPr>
            <w:rStyle w:val="Hyperlink"/>
          </w:rPr>
          <w:t>type</w:t>
        </w:r>
      </w:hyperlink>
      <w:r>
        <w:t>="gradientRadial"&gt;</w:t>
      </w:r>
    </w:p>
    <w:p w:rsidRDefault="00476CD1" w:rsidP="00476CD1" w:rsidR="00476CD1">
      <w:pPr>
        <w:pStyle w:val="c"/>
      </w:pPr>
      <w:r>
        <w:t xml:space="preserve">      &lt;o:fill v:ext="</w:t>
      </w:r>
      <w:hyperlink r:id="rId14">
        <w:r>
          <w:rPr>
            <w:rStyle w:val="Hyperlink"/>
          </w:rPr>
          <w:t>view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 xml:space="preserve">="gradientCenter" /&gt; </w:t>
      </w:r>
    </w:p>
    <w:p w:rsidRDefault="00476CD1" w:rsidP="00476CD1" w:rsidR="00476CD1">
      <w:pPr>
        <w:pStyle w:val="c"/>
      </w:pPr>
      <w:r>
        <w:t xml:space="preserve">    &lt;/v:fill&gt;</w:t>
      </w:r>
    </w:p>
    <w:p w:rsidRDefault="00476CD1" w:rsidP="00476CD1" w:rsidR="00476CD1">
      <w:pPr>
        <w:pStyle w:val="c"/>
      </w:pPr>
      <w:r>
        <w:t xml:space="preserve">  &lt;/v:background&gt;</w:t>
      </w:r>
    </w:p>
    <w:p w:rsidRDefault="00476CD1" w:rsidP="00476CD1" w:rsidR="00476CD1">
      <w:pPr>
        <w:pStyle w:val="c"/>
      </w:pPr>
      <w:r>
        <w:t>&lt;/w:background&gt;</w:t>
      </w:r>
    </w:p>
    <w:p w:rsidRDefault="00476CD1" w:rsidP="00476CD1" w:rsidR="00476CD1">
      <w:r>
        <w:t xml:space="preserve">The resulting background consists of a single </w:t>
      </w:r>
      <w:hyperlink r:id="rId10">
        <w:r>
          <w:rPr>
            <w:rStyle w:val="Hyperlink"/>
          </w:rPr>
          <w:t>color</w:t>
        </w:r>
      </w:hyperlink>
      <w:r>
        <w:t xml:space="preserve"> fill of the </w:t>
      </w:r>
      <w:r>
        <w:t>accent3</w:t>
      </w:r>
      <w:r>
        <w:t xml:space="preserve"> theme </w:t>
      </w:r>
      <w:hyperlink r:id="rId10">
        <w:r>
          <w:rPr>
            <w:rStyle w:val="Hyperlink"/>
          </w:rPr>
          <w:t>color</w:t>
        </w:r>
      </w:hyperlink>
      <w:r>
        <w:t xml:space="preserve"> from the </w:t>
      </w:r>
      <w:r>
        <w:t>themeColor</w:t>
      </w:r>
      <w:r>
        <w:t xml:space="preserve"> attribute, layered under a </w:t>
      </w:r>
      <w:r>
        <w:t>gradientCenter</w:t>
      </w:r>
      <w:r>
        <w:t xml:space="preserve"> fill from the </w:t>
      </w:r>
      <w:r>
        <w:t>fill</w:t>
      </w:r>
      <w:r>
        <w:t xml:space="preserve"> attribute.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document</w:t>
            </w:r>
            <w:r>
              <w:t xml:space="preserve"> (§</w:t>
            </w:r>
            <w:fldSimple w:instr="REF book85f24439-c5fd-4d02-b74d-3b1b48a3399e \r \h">
              <w:r>
                <w:t>2.2.3</w:t>
              </w:r>
            </w:fldSimple>
            <w:r>
              <w:t xml:space="preserve">); </w:t>
            </w:r>
            <w:r>
              <w:t/>
            </w:r>
            <w:hyperlink r:id="rId15">
              <w:r>
                <w:rPr>
                  <w:rStyle w:val="Hyperlink"/>
                </w:rPr>
                <w:t>glossaryDocument</w:t>
              </w:r>
            </w:hyperlink>
            <w:r>
              <w:t/>
            </w:r>
            <w:r>
              <w:t xml:space="preserve"> (§</w:t>
            </w:r>
            <w:fldSimple w:instr="REF booke56e76c8-bafe-4be5-896e-d3ef5327fbd1 \r \h">
              <w:r>
                <w:t>2.12.10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urn:schemas-microsoft-com:vml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vml \r \h">
              <w:r>
                <w:t>6.1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 xml:space="preserve">Any element from the </w:t>
            </w:r>
            <w:r>
              <w:t>urn:schemas-microsoft-com:office:office</w:t>
            </w:r>
            <w:r>
              <w:t xml:space="preserve"> namespace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rosoft-comofficeoffice \r \h">
              <w:r>
                <w:t>6.2</w:t>
              </w:r>
            </w:fldSimple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(Background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for the background of the document.</w:t>
            </w:r>
          </w:p>
          <w:p w:rsidRDefault="00476CD1" w:rsidP="002E5918" w:rsidR="00476CD1"/>
          <w:p w:rsidRDefault="00476CD1" w:rsidP="002E5918" w:rsidR="00476CD1">
            <w:r>
              <w:t xml:space="preserve">This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may either be presented as a hex value (in RRGGBB format), or </w:t>
            </w:r>
            <w:r>
              <w:t>auto</w:t>
            </w:r>
            <w:r>
              <w:t xml:space="preserve"> to allow a consumer to automatically determine the background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as appropriate.</w:t>
            </w:r>
          </w:p>
          <w:p w:rsidRDefault="00476CD1" w:rsidP="002E5918" w:rsidR="00476CD1"/>
          <w:p w:rsidRDefault="00476CD1" w:rsidP="002E5918" w:rsidR="00476CD1">
            <w:r>
              <w:t xml:space="preserve">If the background specifies the use of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via the </w:t>
            </w:r>
            <w:r>
              <w:t>themeColor</w:t>
            </w:r>
            <w:r>
              <w:t xml:space="preserve"> attribute, this value is superseded by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border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with value </w:t>
            </w:r>
            <w:r>
              <w:t>2C34FF</w:t>
            </w:r>
            <w:r>
              <w:t>, as follows: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&lt;w:background …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="2C34FF"/&gt;</w:t>
            </w:r>
          </w:p>
          <w:p w:rsidRDefault="00476CD1" w:rsidP="002E5918" w:rsidR="00476CD1"/>
          <w:p w:rsidRDefault="00476CD1" w:rsidP="002E5918" w:rsidR="00476CD1">
            <w:r>
              <w:t xml:space="preserve">The background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shall therefore be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with an RGB value of 44,52,255 (the decimal decoding of the hex value above).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6">
              <w:r>
                <w:rPr>
                  <w:rStyle w:val="Hyperlink"/>
                </w:rPr>
                <w:t>ST_HexColor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0ed9ed6e-a507-4f3a-866f-4c40e72cf28d \r \h">
              <w:r>
                <w:t>2.18.43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themeColor</w:t>
            </w:r>
            <w:r>
              <w:t xml:space="preserve"> (Background Theme Color)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be applied to the current background.</w:t>
            </w:r>
          </w:p>
          <w:p w:rsidRDefault="00476CD1" w:rsidP="002E5918" w:rsidR="00476CD1"/>
          <w:p w:rsidRDefault="00476CD1" w:rsidP="002E5918" w:rsidR="00476CD1">
            <w:r>
              <w:t xml:space="preserve">The specified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is a reference to one of the predefined theme colors, located in the document's Theme part, which allows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information to be set centrally in the document.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attribute is specified, its value shall be ignored in favor of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resulting from the use of this attribute with any appropriate themeTint and themeShade attribute value calculations applied.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background configured to use the </w:t>
            </w:r>
            <w:r>
              <w:t>accent5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, resulting in the following WordprocessingML markup: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&lt;w:background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="FFA8A0" w:themeColor="accent5" /&gt;</w:t>
            </w:r>
            <w:r>
              <w:br/>
            </w:r>
          </w:p>
          <w:p w:rsidRDefault="00476CD1" w:rsidP="002E5918" w:rsidR="00476CD1">
            <w:r>
              <w:t xml:space="preserve">The background has a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with an RGB value of </w:t>
            </w:r>
            <w:r>
              <w:t>FFA8A0</w:t>
            </w:r>
            <w:r>
              <w:t xml:space="preserve">, however, because the </w:t>
            </w:r>
            <w:r>
              <w:t>themeColor</w:t>
            </w:r>
            <w:r>
              <w:t xml:space="preserve"> attribute is specified, the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is ignored in favor of the </w:t>
            </w:r>
            <w:r>
              <w:t>accent5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specified for this document.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ST_ThemeColor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f5446ed-0083-4cfd-ab96-d3b078a0b046 \r \h">
              <w:r>
                <w:t>2.18.104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themeShade</w:t>
            </w:r>
            <w:r>
              <w:t xml:space="preserve"> (Border Theme Color Shade)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shade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background.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themeShade</w:t>
            </w:r>
            <w:r>
              <w:t xml:space="preserve"> is supplied, then it is applied to the RGB value of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this border.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themeShade</w:t>
            </w:r>
            <w:r>
              <w:t xml:space="preserve"> value is stored as a hex </w:t>
            </w:r>
            <w:hyperlink r:id="rId18">
              <w:r>
                <w:rPr>
                  <w:rStyle w:val="Hyperlink"/>
                </w:rPr>
                <w:t>encoding</w:t>
              </w:r>
            </w:hyperlink>
            <w:r>
              <w:t xml:space="preserve"> of the shade value (from 0–255)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shade of 60% applied to a background in a document. This shade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S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=0.6*255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=153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=99(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themeShade</w:t>
            </w:r>
            <w:r>
              <w:t xml:space="preserve"> value in the file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 xml:space="preserve"> would be </w:t>
            </w:r>
            <w:r>
              <w:t>99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Shade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percentage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background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C0504D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pPr>
              <w:rPr>
                <w:rFonts w:eastAsiaTheme="minorEastAsia"/>
              </w:rPr>
            </w:pPr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w:rPr>
                      <w:rFonts w:hAnsi="Cambria Math" w:ascii="Cambria Math"/>
                    </w:rPr>
                    <m:t>,0.48,0.53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>
            <w:pPr>
              <w:rPr>
                <w:rFonts w:eastAsiaTheme="minorEastAsia"/>
              </w:rPr>
            </w:pPr>
          </w:p>
          <w:p w:rsidRDefault="00476CD1" w:rsidP="002E5918" w:rsidR="00476CD1">
            <w:pPr>
              <w:rPr>
                <w:rFonts w:eastAsiaTheme="minorEastAsia"/>
              </w:rPr>
            </w:pPr>
            <w:r>
              <w:t>Applying the shade formula with a shade percentage of 75% to the luminance, we get:</w:t>
            </w:r>
          </w:p>
          <w:p w:rsidRDefault="00476CD1" w:rsidP="002E5918" w:rsidR="00476CD1">
            <w:pPr>
              <w:rPr>
                <w:rFonts w:eastAsiaTheme="minorEastAsia"/>
              </w:rPr>
            </w:pP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  <w:i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aln/>
                  </m:rPr>
                  <w:rPr>
                    <w:rFonts w:hAnsi="Cambria Math" w:ascii="Cambria Math"/>
                  </w:rPr>
                  <m:t>=0.53*0.75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hAnsi="Cambria Math" w:ascii="Cambria Math"/>
                  </w:rPr>
                  <m:t>=0.39698</m:t>
                </m:r>
              </m:oMath>
            </m:oMathPara>
          </w:p>
          <w:p w:rsidRDefault="00476CD1" w:rsidP="002E5918" w:rsidR="00476CD1"/>
          <w:p w:rsidRDefault="00476CD1" w:rsidP="002E5918" w:rsidR="00476CD1">
            <w:pPr>
              <w:rPr>
                <w:rFonts w:eastAsiaTheme="minorEastAsia"/>
              </w:rPr>
            </w:pPr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hAnsi="Cambria Math"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w:rPr>
                      <w:rFonts w:hAnsi="Cambria Math" w:ascii="Cambria Math"/>
                    </w:rPr>
                    <m:t>,0.48,0.39698</m:t>
                  </m:r>
                </m:e>
              </m:d>
            </m:oMath>
            <w:r>
              <w:t xml:space="preserve">and converting back to RGB, we get </w:t>
            </w:r>
            <w:r>
              <w:t>943634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background's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&lt;w:background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="943634"</w:t>
            </w:r>
            <w:r>
              <w:br/>
            </w:r>
            <w:r>
              <w:t>w:themeColor="accent2" w:themeShade="BF"/&gt;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themeTint</w:t>
            </w:r>
            <w:r>
              <w:t xml:space="preserve"> (Border Theme Color Tint)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tint value applied to the supplied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(if any) for this background.</w:t>
            </w:r>
          </w:p>
          <w:p w:rsidRDefault="00476CD1" w:rsidP="002E5918" w:rsidR="00476CD1"/>
          <w:p w:rsidRDefault="00476CD1" w:rsidP="002E5918" w:rsidR="00476CD1">
            <w:r>
              <w:t xml:space="preserve">If the </w:t>
            </w:r>
            <w:r>
              <w:t>themeTint</w:t>
            </w:r>
            <w:r>
              <w:t xml:space="preserve"> is supplied, then it is applied to the RGB value of the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(from the theme part) to determine the final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applied to the document's background.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themeTint</w:t>
            </w:r>
            <w:r>
              <w:t xml:space="preserve"> value is stored as a hex </w:t>
            </w:r>
            <w:hyperlink r:id="rId18">
              <w:r>
                <w:rPr>
                  <w:rStyle w:val="Hyperlink"/>
                </w:rPr>
                <w:t>encoding</w:t>
              </w:r>
            </w:hyperlink>
            <w:r>
              <w:t xml:space="preserve"> of the tint value (from 0–255) applied to the current border.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 tint of 60% applied to a border in a document. This tint is calculated as follows:</w:t>
            </w:r>
          </w:p>
          <w:p w:rsidRDefault="00476CD1" w:rsidP="002E5918" w:rsidR="00476CD1"/>
          <w:p w:rsidRDefault="00476CD1" w:rsidP="002E5918" w:rsidR="00476CD1">
            <m:oMathPara>
              <m:oMath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w:rPr>
                        <w:rFonts w:hAnsi="Cambria Math" w:ascii="Cambria Math"/>
                      </w:rPr>
                      <m:t>T</m:t>
                    </m:r>
                  </m:e>
                  <m:sub>
                    <m:r>
                      <w:rPr>
                        <w:rFonts w:hAnsi="Cambria Math" w:ascii="Cambria Math"/>
                      </w:rPr>
                      <m:t>xml</m:t>
                    </m:r>
                  </m:sub>
                </m:sSub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=0.4*255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=102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hAnsi="Cambria Math" w:ascii="Cambria Math"/>
                  </w:rPr>
                  <m:t>=66(</m:t>
                </m:r>
                <m:r>
                  <w:rPr>
                    <w:rFonts w:hAnsi="Cambria Math" w:ascii="Cambria Math"/>
                  </w:rPr>
                  <m:t>hex</m:t>
                </m:r>
                <m:r>
                  <m:rPr>
                    <m:sty m:val="p"/>
                  </m:rPr>
                  <w:rPr>
                    <w:rFonts w:hAnsi="Cambria Math" w:ascii="Cambria Math"/>
                  </w:rPr>
                  <m:t>)</m:t>
                </m:r>
              </m:oMath>
            </m:oMathPara>
          </w:p>
          <w:p w:rsidRDefault="00476CD1" w:rsidP="002E5918" w:rsidR="00476CD1"/>
          <w:p w:rsidRDefault="00476CD1" w:rsidP="002E5918" w:rsidR="00476CD1">
            <w:r>
              <w:t xml:space="preserve">The resulting </w:t>
            </w:r>
            <w:r>
              <w:t>themeTint</w:t>
            </w:r>
            <w:r>
              <w:t xml:space="preserve"> value in the file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 xml:space="preserve"> would be </w:t>
            </w:r>
            <w:r>
              <w:t>66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Given an RGB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defined as three hex values in RRGGBB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>, the shade is applied as follows:</w:t>
            </w:r>
          </w:p>
          <w:p w:rsidRDefault="00476CD1" w:rsidP="002E5918" w:rsidR="00476CD1">
            <w:pPr>
              <w:pStyle w:val="ListBullet"/>
            </w:pPr>
            <w:r>
              <w:t xml:space="preserve">Convert the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the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</w:t>
            </w:r>
            <w:hyperlink r:id="rId19">
              <w:r>
                <w:rPr>
                  <w:rStyle w:val="Hyperlink"/>
                </w:rPr>
                <w:t>format</w:t>
              </w:r>
            </w:hyperlink>
            <w:r>
              <w:t xml:space="preserve"> (values from 0 to 1)</w:t>
            </w:r>
          </w:p>
          <w:p w:rsidRDefault="00476CD1" w:rsidP="002E5918" w:rsidR="00476CD1">
            <w:pPr>
              <w:pStyle w:val="ListBullet"/>
            </w:pPr>
            <w:r>
              <w:t>Modify the luminance factor as follows:</w:t>
            </w:r>
          </w:p>
          <w:p w:rsidRDefault="00476CD1" w:rsidP="002E5918" w:rsidR="00476CD1"/>
          <w:p w:rsidRDefault="00476CD1" w:rsidP="002E5918" w:rsidR="00476CD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hAnsi="Cambria Math" w:asci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hAnsi="Cambria Math" w:ascii="Cambria Math"/>
                  </w:rPr>
                  <m:t>=L*</m:t>
                </m:r>
                <m:sSub>
                  <m:sSubPr>
                    <m:ctrlPr>
                      <w:rPr>
                        <w:rFonts w:hAnsi="Cambria Math" w:asci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Tint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>pct</m:t>
                    </m:r>
                  </m:sub>
                </m:sSub>
                <m:r>
                  <m:rPr>
                    <m:sty m:val="p"/>
                  </m:rPr>
                  <w:rPr>
                    <w:rFonts w:hAnsi="Cambria Math" w:ascii="Cambria Math"/>
                  </w:rPr>
                  <m:t>+</m:t>
                </m:r>
                <m:d>
                  <m:dPr>
                    <m:ctrlPr>
                      <w:rPr>
                        <w:rFonts w:hAnsi="Cambria Math" w:asci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Ansi="Cambria Math" w:ascii="Cambria Math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hAnsi="Cambria Math" w:asci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Tint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Ansi="Cambria Math" w:ascii="Cambria Math"/>
                          </w:rPr>
                          <m:t>pct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</m:oMathPara>
          </w:p>
          <w:p w:rsidRDefault="00476CD1" w:rsidP="002E5918" w:rsidR="00476CD1">
            <w:pPr>
              <w:pStyle w:val="ListBullet"/>
            </w:pPr>
            <w:r>
              <w:t xml:space="preserve">Convert the resultant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to RGB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document with a background using the </w:t>
            </w:r>
            <w:r>
              <w:t>accent2</w:t>
            </w:r>
            <w:r>
              <w:t xml:space="preserve"> theme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, whose RGB value (in RRGGBB hex format) is </w:t>
            </w:r>
            <w:r>
              <w:t>4F81BD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pPr>
              <w:rPr>
                <w:rFonts w:eastAsiaTheme="minorEastAsia"/>
              </w:rPr>
            </w:pPr>
            <w:r>
              <w:t xml:space="preserve">The equivalent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would be</w:t>
            </w:r>
            <m:oMath>
              <m:r>
                <w:rPr>
                  <w:rFonts w:hAnsi="Cambria Math" w:ascii="Cambria Math"/>
                </w:rPr>
                <m:t xml:space="preserve"> </m:t>
              </m:r>
              <m:d>
                <m:dPr>
                  <m:ctrlPr>
                    <w:rPr>
                      <w:rFonts w:hAnsi="Cambria Math"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w:rPr>
                      <w:rFonts w:hAnsi="Cambria Math" w:ascii="Cambria Math"/>
                    </w:rPr>
                    <m:t>,0.45,0.53</m:t>
                  </m:r>
                </m:e>
              </m:d>
            </m:oMath>
            <w:r>
              <w:t xml:space="preserve">. </w:t>
            </w:r>
          </w:p>
          <w:p w:rsidRDefault="00476CD1" w:rsidP="002E5918" w:rsidR="00476CD1">
            <w:pPr>
              <w:rPr>
                <w:rFonts w:eastAsiaTheme="minorEastAsia"/>
              </w:rPr>
            </w:pPr>
          </w:p>
          <w:p w:rsidRDefault="00476CD1" w:rsidP="002E5918" w:rsidR="00476CD1">
            <w:pPr>
              <w:rPr>
                <w:rFonts w:eastAsiaTheme="minorEastAsia"/>
              </w:rPr>
            </w:pPr>
            <w:r>
              <w:t>Applying the tint formula with a tint percentage of 60% to the luminance, we get:</w:t>
            </w:r>
          </w:p>
          <w:p w:rsidRDefault="00476CD1" w:rsidP="002E5918" w:rsidR="00476CD1">
            <w:pPr>
              <w:rPr>
                <w:rFonts w:eastAsiaTheme="minorEastAsia"/>
              </w:rPr>
            </w:pPr>
          </w:p>
          <w:p w:rsidRDefault="00476CD1" w:rsidP="002E5918" w:rsidR="00476CD1">
            <m:oMathPara>
              <m:oMath>
                <m:sSup>
                  <m:sSupPr>
                    <m:ctrlPr>
                      <w:rPr>
                        <w:rFonts w:hAnsi="Cambria Math" w:ascii="Cambria Math"/>
                        <w:i/>
                      </w:rPr>
                    </m:ctrlPr>
                  </m:sSupPr>
                  <m:e>
                    <m:r>
                      <w:rPr>
                        <w:rFonts w:hAnsi="Cambria Math" w:ascii="Cambria Math"/>
                      </w:rPr>
                      <m:t>L</m:t>
                    </m:r>
                  </m:e>
                  <m:sup>
                    <m:r>
                      <w:rPr>
                        <w:rFonts w:hAnsi="Cambria Math" w:ascii="Cambria Math"/>
                      </w:rPr>
                      <m:t>'</m:t>
                    </m:r>
                  </m:sup>
                </m:sSup>
                <m:r>
                  <m:rPr>
                    <m:aln/>
                  </m:rPr>
                  <w:rPr>
                    <w:rFonts w:hAnsi="Cambria Math" w:ascii="Cambria Math"/>
                  </w:rPr>
                  <m:t>=0.53*0.6+</m:t>
                </m:r>
                <m:d>
                  <m:dPr>
                    <m:ctrlPr>
                      <w:rPr>
                        <w:rFonts w:hAnsi="Cambria Math" w:ascii="Cambria Math"/>
                        <w:i/>
                      </w:rPr>
                    </m:ctrlPr>
                  </m:dPr>
                  <m:e>
                    <m:r>
                      <w:rPr>
                        <w:rFonts w:hAnsi="Cambria Math" w:ascii="Cambria Math"/>
                      </w:rPr>
                      <m:t>1-.6</m:t>
                    </m:r>
                  </m:e>
                </m:d>
                <m:r>
                  <m:rPr>
                    <m:sty m:val="p"/>
                  </m:rPr>
                  <w:rPr>
                    <w:rFonts w:hAnsi="Cambria Math" w:ascii="Cambria Math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hAnsi="Cambria Math" w:ascii="Cambria Math"/>
                  </w:rPr>
                  <m:t>=0.71</m:t>
                </m:r>
              </m:oMath>
            </m:oMathPara>
          </w:p>
          <w:p w:rsidRDefault="00476CD1" w:rsidP="002E5918" w:rsidR="00476CD1"/>
          <w:p w:rsidRDefault="00476CD1" w:rsidP="002E5918" w:rsidR="00476CD1">
            <w:pPr>
              <w:rPr>
                <w:rFonts w:eastAsiaTheme="minorEastAsia"/>
              </w:rPr>
            </w:pPr>
            <w:r>
              <w:t xml:space="preserve">Taking the resulting HSL 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 xml:space="preserve"> value of </w:t>
            </w:r>
            <m:oMath>
              <m:d>
                <m:dPr>
                  <m:ctrlPr>
                    <w:rPr>
                      <w:rFonts w:hAnsi="Cambria Math"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hAnsi="Cambria Math"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hAnsi="Cambria Math" w:ascii="Cambria Math"/>
                        </w:rPr>
                        <m:t>213</m:t>
                      </m:r>
                    </m:num>
                    <m:den>
                      <m:r>
                        <w:rPr>
                          <w:rFonts w:hAnsi="Cambria Math" w:ascii="Cambria Math"/>
                        </w:rPr>
                        <m:t>360</m:t>
                      </m:r>
                    </m:den>
                  </m:f>
                  <m:r>
                    <w:rPr>
                      <w:rFonts w:hAnsi="Cambria Math" w:ascii="Cambria Math"/>
                    </w:rPr>
                    <m:t>,0.45,0.71</m:t>
                  </m:r>
                </m:e>
              </m:d>
            </m:oMath>
            <w:r>
              <w:t xml:space="preserve">and converting back to RGB, we get </w:t>
            </w:r>
            <w:r>
              <w:t>95B3D7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 xml:space="preserve">This transformed value can be seen in the resulting background's </w:t>
            </w:r>
            <w:r>
              <w:t/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attribute: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&lt;w:background w:</w:t>
            </w:r>
            <w:hyperlink r:id="rId10">
              <w:r>
                <w:rPr>
                  <w:rStyle w:val="Hyperlink"/>
                </w:rPr>
                <w:t>color</w:t>
              </w:r>
            </w:hyperlink>
            <w:r>
              <w:t>="95B3D7"</w:t>
            </w:r>
            <w:r>
              <w:br/>
            </w:r>
            <w:r>
              <w:t>w:themeColor="accent2" w:themeTint="99"/&gt;</w:t>
            </w:r>
          </w:p>
          <w:p w:rsidRDefault="00476CD1" w:rsidP="002E5918" w:rsidR="00476CD1"/>
          <w:p w:rsidRDefault="00476CD1" w:rsidP="002E5918" w:rsidR="00476CD1"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0">
              <w:r>
                <w:rPr>
                  <w:rStyle w:val="Hyperlink"/>
                </w:rPr>
                <w:t>ST_UcharHexNumber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a93c50f5-68df-4d1c-8e93-834c7ccb0538 \r \h">
              <w:r>
                <w:t>2.18.106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="CT_Background"&gt;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base="CT_PictureBase"&gt;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color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6">
        <w:r>
          <w:rPr>
            <w:rStyle w:val="Hyperlink"/>
          </w:rPr>
          <w:t>ST_HexColor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="themeColor"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ST_ThemeColor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="themeTint"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="themeShade"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20">
        <w:r>
          <w:rPr>
            <w:rStyle w:val="Hyperlink"/>
          </w:rPr>
          <w:t>ST_UcharHexNumber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.png"></Relationship><Relationship Id="rId9" Type="http://schemas.openxmlformats.org/officeDocument/2006/relationships/hyperlink" Target="effect.docx" TargetMode="External"/><Relationship Id="rId10" Type="http://schemas.openxmlformats.org/officeDocument/2006/relationships/hyperlink" Target="color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view.docx" TargetMode="External"/><Relationship Id="rId15" Type="http://schemas.openxmlformats.org/officeDocument/2006/relationships/hyperlink" Target="glossaryDocument.docx" TargetMode="External"/><Relationship Id="rId16" Type="http://schemas.openxmlformats.org/officeDocument/2006/relationships/hyperlink" Target="ST_HexColor.docx" TargetMode="External"/><Relationship Id="rId17" Type="http://schemas.openxmlformats.org/officeDocument/2006/relationships/hyperlink" Target="ST_ThemeColor.docx" TargetMode="External"/><Relationship Id="rId18" Type="http://schemas.openxmlformats.org/officeDocument/2006/relationships/hyperlink" Target="encoding.docx" TargetMode="External"/><Relationship Id="rId19" Type="http://schemas.openxmlformats.org/officeDocument/2006/relationships/hyperlink" Target="format.docx" TargetMode="External"/><Relationship Id="rId20" Type="http://schemas.openxmlformats.org/officeDocument/2006/relationships/hyperlink" Target="ST_UcharHexNumber.docx" TargetMode="External"/><Relationship Id="rId21" Type="http://schemas.openxmlformats.org/officeDocument/2006/relationships/hyperlink" Target="XML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