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23_1" w:id="100001"/>
      <w:bookmarkStart w:name="bookab2c68c7-1de8-4cf7-ad85-7d56248ce1a3_1" w:id="100002"/>
      <w:r>
        <w:t>bottom</w:t>
      </w:r>
      <w:r>
        <w:t xml:space="preserve"> (Table Cell Bottom Margin Exception)</w:t>
      </w:r>
      <w:bookmarkEnd w:id="100001"/>
    </w:p>
    <w:bookmarkEnd w:id="100002"/>
    <w:p w:rsidRDefault="00476CD1" w:rsidP="00476CD1" w:rsidR="00476CD1">
      <w:r>
        <w:t xml:space="preserve">This element specifies the amount of space which shall be left </w:t>
      </w:r>
      <w:hyperlink r:id="rId8">
        <w:r>
          <w:rPr>
            <w:rStyle w:val="Hyperlink"/>
          </w:rPr>
          <w:t>between</w:t>
        </w:r>
      </w:hyperlink>
      <w:r>
        <w:t xml:space="preserve"> the bottom extent of the cell contents and the border of a specific </w:t>
      </w:r>
      <w:hyperlink r:id="rId9">
        <w:r>
          <w:rPr>
            <w:rStyle w:val="Hyperlink"/>
          </w:rPr>
          <w:t>table</w:t>
        </w:r>
      </w:hyperlink>
      <w:r>
        <w:t xml:space="preserve"> cell within a table. This setting shall override the </w:t>
      </w:r>
      <w:hyperlink r:id="rId9">
        <w:r>
          <w:rPr>
            <w:rStyle w:val="Hyperlink"/>
          </w:rPr>
          <w:t>table</w:t>
        </w:r>
      </w:hyperlink>
      <w:r>
        <w:t xml:space="preserve"> cell bottom margin definition specified by the </w:t>
      </w:r>
      <w:r>
        <w:t>bottom</w:t>
      </w:r>
      <w:r>
        <w:t xml:space="preserve"> element contained within the </w:t>
      </w:r>
      <w:hyperlink r:id="rId9">
        <w:r>
          <w:rPr>
            <w:rStyle w:val="Hyperlink"/>
          </w:rPr>
          <w:t>table</w:t>
        </w:r>
      </w:hyperlink>
      <w:r>
        <w:t xml:space="preserve"> properties (§</w:t>
      </w:r>
      <w:fldSimple w:instr=" REF book4b60e915-5fc5-4b69-a8d4-fe9ad7a910e7 \w \h ">
        <w:r>
          <w:t>2.4.5</w:t>
        </w:r>
      </w:fldSimple>
      <w:r>
        <w:t>).</w:t>
      </w:r>
    </w:p>
    <w:p w:rsidRDefault="00476CD1" w:rsidP="00476CD1" w:rsidR="00476CD1">
      <w:r>
        <w:t xml:space="preserve">This value is specified in the units applied via its </w:t>
      </w:r>
      <w:r>
        <w:t/>
      </w:r>
      <w:hyperlink r:id="rId10">
        <w:r>
          <w:rPr>
            <w:rStyle w:val="Hyperlink"/>
          </w:rPr>
          <w:t>type</w:t>
        </w:r>
      </w:hyperlink>
      <w:r>
        <w:t/>
      </w:r>
      <w:r>
        <w:t xml:space="preserve"> attribute. Any width value of </w:t>
      </w:r>
      <w:r>
        <w:t/>
      </w:r>
      <w:hyperlink r:id="rId10">
        <w:r>
          <w:rPr>
            <w:rStyle w:val="Hyperlink"/>
          </w:rPr>
          <w:t>type</w:t>
        </w:r>
      </w:hyperlink>
      <w:r>
        <w:t/>
      </w:r>
      <w:r>
        <w:t xml:space="preserve"> </w:t>
      </w:r>
      <w:r>
        <w:t>pct</w:t>
      </w:r>
      <w:r>
        <w:t xml:space="preserve"> or </w:t>
      </w:r>
      <w:r>
        <w:t>auto</w:t>
      </w:r>
      <w:r>
        <w:t xml:space="preserve"> for this element shall be ignored.</w:t>
      </w:r>
    </w:p>
    <w:p w:rsidRDefault="00476CD1" w:rsidP="00476CD1" w:rsidR="00476CD1">
      <w:r>
        <w:t xml:space="preserve">If omitted, then this </w:t>
      </w:r>
      <w:hyperlink r:id="rId9">
        <w:r>
          <w:rPr>
            <w:rStyle w:val="Hyperlink"/>
          </w:rPr>
          <w:t>table</w:t>
        </w:r>
      </w:hyperlink>
      <w:r>
        <w:t xml:space="preserve"> cell shall use the bottom cell margins defined in the </w:t>
      </w:r>
      <w:r>
        <w:t>bottom</w:t>
      </w:r>
      <w:r>
        <w:t xml:space="preserve"> element contained within the </w:t>
      </w:r>
      <w:hyperlink r:id="rId9">
        <w:r>
          <w:rPr>
            <w:rStyle w:val="Hyperlink"/>
          </w:rPr>
          <w:t>table</w:t>
        </w:r>
      </w:hyperlink>
      <w:r>
        <w:t xml:space="preserve"> properties (§</w:t>
      </w:r>
      <w:fldSimple w:instr=" REF book4b60e915-5fc5-4b69-a8d4-fe9ad7a910e7 \w \h ">
        <w:r>
          <w:t>2.4.5</w:t>
        </w:r>
      </w:fldSimple>
      <w:r>
        <w:t>).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9">
        <w:r>
          <w:rPr>
            <w:rStyle w:val="Hyperlink"/>
          </w:rPr>
          <w:t>table</w:t>
        </w:r>
      </w:hyperlink>
      <w:r>
        <w:t xml:space="preserve"> with two cells in which the first </w:t>
      </w:r>
      <w:hyperlink r:id="rId9">
        <w:r>
          <w:rPr>
            <w:rStyle w:val="Hyperlink"/>
          </w:rPr>
          <w:t>table</w:t>
        </w:r>
      </w:hyperlink>
      <w:r>
        <w:t xml:space="preserve"> cell’s bottom margin is specified via an exception to be ten times larger (</w:t>
      </w:r>
      <w:smartTag w:element="metricconverter" w:uri="urn:schemas-microsoft-com:office:smarttags">
        <w:smartTagPr>
          <w:attr w:val="0.2 inches" w:name="ProductID"/>
        </w:smartTagPr>
        <w:r>
          <w:t>0.2 inches</w:t>
        </w:r>
      </w:smartTag>
      <w:r>
        <w:t xml:space="preserve"> vs. </w:t>
      </w:r>
      <w:smartTag w:element="metricconverter" w:uri="urn:schemas-microsoft-com:office:smarttags">
        <w:smartTagPr>
          <w:attr w:val="0.02 inches" w:name="ProductID"/>
        </w:smartTagPr>
        <w:r>
          <w:t>0.02 inches</w:t>
        </w:r>
      </w:smartTag>
      <w:r>
        <w:t xml:space="preserve">) than the other </w:t>
      </w:r>
      <w:hyperlink r:id="rId9">
        <w:r>
          <w:rPr>
            <w:rStyle w:val="Hyperlink"/>
          </w:rPr>
          <w:t>table</w:t>
        </w:r>
      </w:hyperlink>
      <w:r>
        <w:t xml:space="preserve"> cell margins: </w:t>
      </w:r>
    </w:p>
    <w:tbl>
      <w:tblPr>
        <w:tblStyle w:val="TableGrid"/>
        <w:tblW w:type="auto" w:w="0"/>
        <w:tblCellMar>
          <w:top w:type="dxa" w:w="29"/>
          <w:left w:type="dxa" w:w="29"/>
          <w:bottom w:type="dxa" w:w="29"/>
          <w:right w:type="dxa" w:w="29"/>
        </w:tblCellMar>
        <w:tblLook w:val="04A0" w:noVBand="1" w:noHBand="0" w:lastColumn="0" w:firstColumn="1" w:lastRow="0" w:firstRow="1"/>
      </w:tblPr>
      <w:tblGrid>
        <w:gridCol w:w="3333"/>
      </w:tblGrid>
      <w:tr w:rsidTr="002E5918" w:rsidR="00476CD1">
        <w:tc>
          <w:tcPr>
            <w:tcW w:type="dxa" w:w="3333"/>
            <w:tcMar>
              <w:bottom w:type="dxa" w:w="288"/>
            </w:tcMar>
          </w:tcPr>
          <w:p w:rsidRDefault="00476CD1" w:rsidP="002E5918" w:rsidR="00476CD1">
            <w:r>
              <w:t>This text fills the extents of the cell.</w:t>
            </w:r>
          </w:p>
        </w:tc>
      </w:tr>
      <w:tr w:rsidTr="002E5918" w:rsidR="00476CD1">
        <w:tc>
          <w:tcPr>
            <w:tcW w:type="dxa" w:w="3333"/>
          </w:tcPr>
          <w:p w:rsidRDefault="00476CD1" w:rsidP="002E5918" w:rsidR="00476CD1">
            <w:r>
              <w:t>So does this</w:t>
            </w:r>
          </w:p>
        </w:tc>
      </w:tr>
    </w:tbl>
    <w:p w:rsidRDefault="00476CD1" w:rsidP="00476CD1" w:rsidR="00476CD1"/>
    <w:p w:rsidRDefault="00476CD1" w:rsidP="00476CD1" w:rsidR="00476CD1">
      <w:r>
        <w:t xml:space="preserve">The first cell in the </w:t>
      </w:r>
      <w:hyperlink r:id="rId9">
        <w:r>
          <w:rPr>
            <w:rStyle w:val="Hyperlink"/>
          </w:rPr>
          <w:t>table</w:t>
        </w:r>
      </w:hyperlink>
      <w:r>
        <w:t xml:space="preserve"> would be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tcMar</w:t>
        </w:r>
      </w:hyperlink>
      <w:r>
        <w:t>&gt;</w:t>
      </w:r>
      <w:r>
        <w:br/>
      </w:r>
      <w:r>
        <w:t xml:space="preserve">      &lt;w:bottom w:</w:t>
      </w:r>
      <w:hyperlink r:id="rId14">
        <w:r>
          <w:rPr>
            <w:rStyle w:val="Hyperlink"/>
          </w:rPr>
          <w:t>w</w:t>
        </w:r>
      </w:hyperlink>
      <w:r>
        <w:t>="288" w:</w:t>
      </w:r>
      <w:hyperlink r:id="rId10">
        <w:r>
          <w:rPr>
            <w:rStyle w:val="Hyperlink"/>
          </w:rPr>
          <w:t>type</w:t>
        </w:r>
      </w:hyperlink>
      <w:r>
        <w:t>="dxa" /&gt;</w:t>
      </w:r>
      <w:r>
        <w:br/>
      </w:r>
      <w:r>
        <w:t xml:space="preserve">    &lt;/w:</w:t>
      </w:r>
      <w:hyperlink r:id="rId13">
        <w:r>
          <w:rPr>
            <w:rStyle w:val="Hyperlink"/>
          </w:rPr>
          <w:t>tcMar</w:t>
        </w:r>
      </w:hyperlink>
      <w:r>
        <w:t>&gt;</w:t>
      </w:r>
      <w:r>
        <w:br/>
      </w:r>
      <w:r>
        <w:t xml:space="preserve">  &lt;/w:</w:t>
      </w:r>
      <w:hyperlink r:id="rId12">
        <w:r>
          <w:rPr>
            <w:rStyle w:val="Hyperlink"/>
          </w:rPr>
          <w:t>tcPr</w:t>
        </w:r>
      </w:hyperlink>
      <w:r>
        <w:t>&gt;</w:t>
      </w:r>
      <w:r>
        <w:br/>
      </w:r>
      <w:r>
        <w:t>&lt;/w:</w:t>
      </w:r>
      <w:hyperlink r:id="rId11">
        <w:r>
          <w:rPr>
            <w:rStyle w:val="Hyperlink"/>
          </w:rPr>
          <w:t>tc</w:t>
        </w:r>
      </w:hyperlink>
      <w:r>
        <w:t>&gt;</w:t>
      </w:r>
    </w:p>
    <w:p w:rsidRDefault="00476CD1" w:rsidP="00476CD1" w:rsidR="00476CD1">
      <w:r>
        <w:t xml:space="preserve">The first cell in this </w:t>
      </w:r>
      <w:hyperlink r:id="rId9">
        <w:r>
          <w:rPr>
            <w:rStyle w:val="Hyperlink"/>
          </w:rPr>
          <w:t>table</w:t>
        </w:r>
      </w:hyperlink>
      <w:r>
        <w:t xml:space="preserve"> has an exception applied to the </w:t>
      </w:r>
      <w:hyperlink r:id="rId9">
        <w:r>
          <w:rPr>
            <w:rStyle w:val="Hyperlink"/>
          </w:rPr>
          <w:t>table</w:t>
        </w:r>
      </w:hyperlink>
      <w:r>
        <w:t xml:space="preserve"> cell bottom cell margin setting it to </w:t>
      </w:r>
      <w:r>
        <w:t>288</w:t>
      </w:r>
      <w:r>
        <w:t xml:space="preserve"> twentieths of a point (</w:t>
      </w:r>
      <w:smartTag w:element="metricconverter" w:uri="urn:schemas-microsoft-com:office:smarttags">
        <w:smartTagPr>
          <w:attr w:val="0.2 inches" w:name="ProductID"/>
        </w:smartTagPr>
        <w:r>
          <w:t>0.2 inches</w:t>
        </w:r>
      </w:smartTag>
      <w:r>
        <w:t xml:space="preserve">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tcMar</w:t>
              </w:r>
            </w:hyperlink>
            <w:r>
              <w:t/>
            </w:r>
            <w:r>
              <w:t xml:space="preserve"> (§</w:t>
            </w:r>
            <w:fldSimple w:instr="REF bookd8773de0-3e16-48a5-8f79-ca3cd2c37427 \r \h">
              <w:r>
                <w:t>2.4.65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(Table Width Type)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units of the width property being defined by the parent element’s </w:t>
            </w:r>
            <w:r>
              <w:t/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attribute. This property is used to define various properties of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, including: cell </w:t>
            </w:r>
            <w:hyperlink r:id="rId15">
              <w:r>
                <w:rPr>
                  <w:rStyle w:val="Hyperlink"/>
                </w:rPr>
                <w:t>spacing</w:t>
              </w:r>
            </w:hyperlink>
            <w:r>
              <w:t xml:space="preserve">, preferred width, and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margins.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dxa</w:t>
            </w:r>
            <w:r>
              <w:t xml:space="preserve"> (twentieths of a point).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with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cell bottom cell </w:t>
            </w:r>
            <w:hyperlink r:id="rId15">
              <w:r>
                <w:rPr>
                  <w:rStyle w:val="Hyperlink"/>
                </w:rPr>
                <w:t>spacing</w:t>
              </w:r>
            </w:hyperlink>
            <w:r>
              <w:t xml:space="preserve"> with a </w:t>
            </w:r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of </w:t>
            </w:r>
            <w:r>
              <w:t>dxa</w:t>
            </w:r>
            <w:r>
              <w:t>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6">
              <w:r>
                <w:rPr>
                  <w:rStyle w:val="Hyperlink"/>
                </w:rPr>
                <w:t>bottom</w:t>
              </w:r>
            </w:hyperlink>
            <w:r>
              <w:t xml:space="preserve"> ... w: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>="dxa" /&gt;</w:t>
            </w:r>
          </w:p>
          <w:p w:rsidRDefault="00476CD1" w:rsidP="002E5918" w:rsidR="00476CD1"/>
          <w:p w:rsidRDefault="00476CD1" w:rsidP="002E5918" w:rsidR="00476CD1">
            <w:r>
              <w:t xml:space="preserve">This </w:t>
            </w:r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shall therefore be used to interpret the width specified in the </w:t>
            </w:r>
            <w:r>
              <w:t/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 as a value in twentieths of a point.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ST_TblWidth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24e322e-9f40-4f17-9533-9d81f2144dd4 \r \h">
              <w:r>
                <w:t>2.18.97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(Table Width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value of the width property being defined by the parent element. This property is used to define various properties of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, including: cell </w:t>
            </w:r>
            <w:hyperlink r:id="rId15">
              <w:r>
                <w:rPr>
                  <w:rStyle w:val="Hyperlink"/>
                </w:rPr>
                <w:t>spacing</w:t>
              </w:r>
            </w:hyperlink>
            <w:r>
              <w:t xml:space="preserve">, preferred widths, and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margins.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0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with a bottom margin with a width of </w:t>
            </w:r>
            <w:r>
              <w:t>302</w:t>
            </w:r>
            <w:r>
              <w:t>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6">
              <w:r>
                <w:rPr>
                  <w:rStyle w:val="Hyperlink"/>
                </w:rPr>
                <w:t>bottom</w:t>
              </w:r>
            </w:hyperlink>
            <w:r>
              <w:t xml:space="preserve"> w:</w:t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>="302" w: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>="dxa" /&gt;</w:t>
            </w:r>
          </w:p>
          <w:p w:rsidRDefault="00476CD1" w:rsidP="002E5918" w:rsidR="00476CD1"/>
          <w:p w:rsidRDefault="00476CD1" w:rsidP="002E5918" w:rsidR="00476CD1">
            <w:r>
              <w:t xml:space="preserve">The value in the </w:t>
            </w:r>
            <w:r>
              <w:t/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 shall therefore be used to determine the width being specified in the context of the units specified in the </w:t>
            </w:r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attribute. In this case, the </w:t>
            </w:r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is twentieths of a point (</w:t>
            </w:r>
            <w:r>
              <w:t>dxa</w:t>
            </w:r>
            <w:r>
              <w:t xml:space="preserve">), so the width is </w:t>
            </w:r>
            <w:r>
              <w:t>302</w:t>
            </w:r>
            <w:r>
              <w:t xml:space="preserve"> twentieths of a point (</w:t>
            </w:r>
            <w:smartTag w:element="metricconverter" w:uri="urn:schemas-microsoft-com:office:smarttags">
              <w:smartTagPr>
                <w:attr w:val=".2097 inches" w:name="ProductID"/>
              </w:smartTagPr>
              <w:r>
                <w:t>.2097 inches</w:t>
              </w:r>
            </w:smartTag>
            <w:r>
              <w:t xml:space="preserve">).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8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0">
        <w:r>
          <w:rPr>
            <w:rStyle w:val="Hyperlink"/>
          </w:rPr>
          <w:t>name</w:t>
        </w:r>
      </w:hyperlink>
      <w:r>
        <w:t>="CT_TblWidth"&gt;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0">
        <w:r>
          <w:rPr>
            <w:rStyle w:val="Hyperlink"/>
          </w:rPr>
          <w:t>name</w:t>
        </w:r>
      </w:hyperlink>
      <w:r>
        <w:t>="</w:t>
      </w:r>
      <w:hyperlink r:id="rId14">
        <w:r>
          <w:rPr>
            <w:rStyle w:val="Hyperlink"/>
          </w:rPr>
          <w:t>w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18">
        <w:r>
          <w:rPr>
            <w:rStyle w:val="Hyperlink"/>
          </w:rPr>
          <w:t>ST_DecimalNumber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0">
        <w:r>
          <w:rPr>
            <w:rStyle w:val="Hyperlink"/>
          </w:rPr>
          <w:t>name</w:t>
        </w:r>
      </w:hyperlink>
      <w:r>
        <w:t>="</w:t>
      </w:r>
      <w:hyperlink r:id="rId10">
        <w:r>
          <w:rPr>
            <w:rStyle w:val="Hyperlink"/>
          </w:rPr>
          <w:t>type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17">
        <w:r>
          <w:rPr>
            <w:rStyle w:val="Hyperlink"/>
          </w:rPr>
          <w:t>ST_TblWidth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between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type.docx" TargetMode="External"/><Relationship Id="rId11" Type="http://schemas.openxmlformats.org/officeDocument/2006/relationships/hyperlink" Target="tc.docx" TargetMode="External"/><Relationship Id="rId12" Type="http://schemas.openxmlformats.org/officeDocument/2006/relationships/hyperlink" Target="tcPr.docx" TargetMode="External"/><Relationship Id="rId13" Type="http://schemas.openxmlformats.org/officeDocument/2006/relationships/hyperlink" Target="tcMar.docx" TargetMode="External"/><Relationship Id="rId14" Type="http://schemas.openxmlformats.org/officeDocument/2006/relationships/hyperlink" Target="w.docx" TargetMode="External"/><Relationship Id="rId15" Type="http://schemas.openxmlformats.org/officeDocument/2006/relationships/hyperlink" Target="spacing.docx" TargetMode="External"/><Relationship Id="rId16" Type="http://schemas.openxmlformats.org/officeDocument/2006/relationships/hyperlink" Target="bottom.docx" TargetMode="External"/><Relationship Id="rId17" Type="http://schemas.openxmlformats.org/officeDocument/2006/relationships/hyperlink" Target="ST_TblWidth.docx" TargetMode="External"/><Relationship Id="rId18" Type="http://schemas.openxmlformats.org/officeDocument/2006/relationships/hyperlink" Target="ST_DecimalNumber.docx" TargetMode="External"/><Relationship Id="rId19" Type="http://schemas.openxmlformats.org/officeDocument/2006/relationships/hyperlink" Target="XML.docx" TargetMode="External"/><Relationship Id="rId20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