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36_1" w:id="100001"/>
      <w:bookmarkStart w:name="bookb87e6be5-1e5a-4710-b77a-e4925a067fff_1" w:id="100002"/>
      <w:r>
        <w:t>charset</w:t>
      </w:r>
      <w:r>
        <w:t xml:space="preserve"> (Character Set Supported By Font)</w:t>
      </w:r>
      <w:bookmarkEnd w:id="100001"/>
    </w:p>
    <w:bookmarkEnd w:id="100002"/>
    <w:p w:rsidRDefault="00476CD1" w:rsidP="00476CD1" w:rsidR="00476CD1">
      <w:r>
        <w:t>This element specifies the character set which is supported by the parent font. This information may be used as defined in font substitution logic to locate an appropriate substitute font when this font is not available. This information is determined by querying the font when present and shall not be modified when the font is not available.</w:t>
      </w:r>
    </w:p>
    <w:p w:rsidRDefault="00476CD1" w:rsidP="00476CD1" w:rsidR="00476CD1">
      <w:r>
        <w:t>The value of this element shall be interpreted as follows:</w:t>
      </w:r>
    </w:p>
    <w:tbl>
      <w:tblPr>
        <w:tblStyle w:val="IndentedElementTable"/>
        <w:tblW w:type="auto" w:w="0"/>
        <w:tblLook w:val="04A0" w:noVBand="1" w:noHBand="0" w:lastColumn="0" w:firstColumn="1" w:lastRow="0" w:firstRow="1"/>
      </w:tblPr>
      <w:tblGrid>
        <w:gridCol w:w="2185"/>
        <w:gridCol w:w="7405"/>
      </w:tblGrid>
      <w:tr w:rsidTr="002E5918" w:rsidR="00476CD1" w:rsidRPr="0013327E">
        <w:trPr>
          <w:cnfStyle w:val="100000000000"/>
        </w:trPr>
        <w:tc>
          <w:tcPr>
            <w:tcW w:type="dxa" w:w="2185"/>
          </w:tcPr>
          <w:p w:rsidRDefault="00476CD1" w:rsidP="002E5918" w:rsidR="00476CD1">
            <w:r>
              <w:t>Value</w:t>
            </w:r>
          </w:p>
        </w:tc>
        <w:tc>
          <w:tcPr>
            <w:tcW w:type="dxa" w:w="7405"/>
          </w:tcPr>
          <w:p w:rsidRDefault="00476CD1" w:rsidP="002E5918" w:rsidR="00476CD1">
            <w:r>
              <w:t>Description</w:t>
            </w:r>
          </w:p>
        </w:tc>
      </w:tr>
      <w:tr w:rsidTr="002E5918" w:rsidR="00476CD1">
        <w:tc>
          <w:tcPr>
            <w:tcW w:type="dxa" w:w="2185"/>
          </w:tcPr>
          <w:p w:rsidRDefault="00476CD1" w:rsidP="002E5918" w:rsidR="00476CD1">
            <w:pPr>
              <w:rPr>
                <w:rStyle w:val="Codefragment"/>
              </w:rPr>
            </w:pPr>
            <w:r>
              <w:t>0x00</w:t>
            </w:r>
          </w:p>
        </w:tc>
        <w:tc>
          <w:tcPr>
            <w:tcW w:type="dxa" w:w="7405"/>
          </w:tcPr>
          <w:p w:rsidRDefault="00476CD1" w:rsidP="002E5918" w:rsidR="00476CD1">
            <w:r>
              <w:t>Specifies the ANSI character set.</w:t>
            </w:r>
          </w:p>
        </w:tc>
      </w:tr>
      <w:tr w:rsidTr="002E5918" w:rsidR="00476CD1">
        <w:tc>
          <w:tcPr>
            <w:tcW w:type="dxa" w:w="2185"/>
          </w:tcPr>
          <w:p w:rsidRDefault="00476CD1" w:rsidP="002E5918" w:rsidR="00476CD1">
            <w:pPr>
              <w:rPr>
                <w:rStyle w:val="Codefragment"/>
              </w:rPr>
            </w:pPr>
            <w:r>
              <w:t>0x01</w:t>
            </w:r>
          </w:p>
        </w:tc>
        <w:tc>
          <w:tcPr>
            <w:tcW w:type="dxa" w:w="7405"/>
          </w:tcPr>
          <w:p w:rsidRDefault="00476CD1" w:rsidP="002E5918" w:rsidR="00476CD1">
            <w:r>
              <w:t>Specifies the default character set.</w:t>
            </w:r>
          </w:p>
        </w:tc>
      </w:tr>
      <w:tr w:rsidTr="002E5918" w:rsidR="00476CD1">
        <w:tc>
          <w:tcPr>
            <w:tcW w:type="dxa" w:w="2185"/>
          </w:tcPr>
          <w:p w:rsidRDefault="00476CD1" w:rsidP="002E5918" w:rsidR="00476CD1">
            <w:pPr>
              <w:rPr>
                <w:rStyle w:val="Codefragment"/>
              </w:rPr>
            </w:pPr>
            <w:r>
              <w:t>0x02</w:t>
            </w:r>
          </w:p>
        </w:tc>
        <w:tc>
          <w:tcPr>
            <w:tcW w:type="dxa" w:w="7405"/>
          </w:tcPr>
          <w:p w:rsidRDefault="00476CD1" w:rsidP="002E5918" w:rsidR="00476CD1">
            <w:r>
              <w:t>Specifies the Symbol character set.</w:t>
            </w:r>
          </w:p>
        </w:tc>
      </w:tr>
      <w:tr w:rsidTr="002E5918" w:rsidR="00476CD1">
        <w:tc>
          <w:tcPr>
            <w:tcW w:type="dxa" w:w="2185"/>
          </w:tcPr>
          <w:p w:rsidRDefault="00476CD1" w:rsidP="002E5918" w:rsidR="00476CD1">
            <w:pPr>
              <w:rPr>
                <w:rStyle w:val="Codefragment"/>
              </w:rPr>
            </w:pPr>
            <w:r>
              <w:t>0x4D</w:t>
            </w:r>
          </w:p>
        </w:tc>
        <w:tc>
          <w:tcPr>
            <w:tcW w:type="dxa" w:w="7405"/>
          </w:tcPr>
          <w:p w:rsidRDefault="00476CD1" w:rsidP="002E5918" w:rsidR="00476CD1">
            <w:r>
              <w:t>Specifies a Macintosh (Standard Roman) character set.</w:t>
            </w:r>
          </w:p>
        </w:tc>
      </w:tr>
      <w:tr w:rsidTr="002E5918" w:rsidR="00476CD1">
        <w:tc>
          <w:tcPr>
            <w:tcW w:type="dxa" w:w="2185"/>
          </w:tcPr>
          <w:p w:rsidRDefault="00476CD1" w:rsidP="002E5918" w:rsidR="00476CD1">
            <w:pPr>
              <w:rPr>
                <w:rStyle w:val="Codefragment"/>
              </w:rPr>
            </w:pPr>
            <w:r>
              <w:t>0x80</w:t>
            </w:r>
          </w:p>
        </w:tc>
        <w:tc>
          <w:tcPr>
            <w:tcW w:type="dxa" w:w="7405"/>
          </w:tcPr>
          <w:p w:rsidRDefault="00476CD1" w:rsidP="002E5918" w:rsidR="00476CD1">
            <w:r>
              <w:t>Specifies the JIS character set.</w:t>
            </w:r>
          </w:p>
        </w:tc>
      </w:tr>
      <w:tr w:rsidTr="002E5918" w:rsidR="00476CD1">
        <w:tc>
          <w:tcPr>
            <w:tcW w:type="dxa" w:w="2185"/>
          </w:tcPr>
          <w:p w:rsidRDefault="00476CD1" w:rsidP="002E5918" w:rsidR="00476CD1">
            <w:pPr>
              <w:rPr>
                <w:rStyle w:val="Codefragment"/>
              </w:rPr>
            </w:pPr>
            <w:r>
              <w:t>0x81</w:t>
            </w:r>
          </w:p>
        </w:tc>
        <w:tc>
          <w:tcPr>
            <w:tcW w:type="dxa" w:w="7405"/>
          </w:tcPr>
          <w:p w:rsidRDefault="00476CD1" w:rsidP="002E5918" w:rsidR="00476CD1">
            <w:r>
              <w:t>Specifies the Hangul character set.</w:t>
            </w:r>
          </w:p>
        </w:tc>
      </w:tr>
      <w:tr w:rsidTr="002E5918" w:rsidR="00476CD1">
        <w:tc>
          <w:tcPr>
            <w:tcW w:type="dxa" w:w="2185"/>
          </w:tcPr>
          <w:p w:rsidRDefault="00476CD1" w:rsidP="002E5918" w:rsidR="00476CD1">
            <w:pPr>
              <w:rPr>
                <w:rStyle w:val="Codefragment"/>
              </w:rPr>
            </w:pPr>
            <w:r>
              <w:t>0x82</w:t>
            </w:r>
          </w:p>
        </w:tc>
        <w:tc>
          <w:tcPr>
            <w:tcW w:type="dxa" w:w="7405"/>
          </w:tcPr>
          <w:p w:rsidRDefault="00476CD1" w:rsidP="002E5918" w:rsidR="00476CD1">
            <w:r>
              <w:t>Specifies a Johab character set.</w:t>
            </w:r>
          </w:p>
        </w:tc>
      </w:tr>
      <w:tr w:rsidTr="002E5918" w:rsidR="00476CD1">
        <w:tc>
          <w:tcPr>
            <w:tcW w:type="dxa" w:w="2185"/>
          </w:tcPr>
          <w:p w:rsidRDefault="00476CD1" w:rsidP="002E5918" w:rsidR="00476CD1">
            <w:pPr>
              <w:rPr>
                <w:rStyle w:val="Codefragment"/>
              </w:rPr>
            </w:pPr>
            <w:r>
              <w:t>0x86</w:t>
            </w:r>
          </w:p>
        </w:tc>
        <w:tc>
          <w:tcPr>
            <w:tcW w:type="dxa" w:w="7405"/>
          </w:tcPr>
          <w:p w:rsidRDefault="00476CD1" w:rsidP="002E5918" w:rsidR="00476CD1">
            <w:r>
              <w:t>Specifies the GB-2312 character set.</w:t>
            </w:r>
          </w:p>
        </w:tc>
      </w:tr>
      <w:tr w:rsidTr="002E5918" w:rsidR="00476CD1">
        <w:tc>
          <w:tcPr>
            <w:tcW w:type="dxa" w:w="2185"/>
          </w:tcPr>
          <w:p w:rsidRDefault="00476CD1" w:rsidP="002E5918" w:rsidR="00476CD1">
            <w:pPr>
              <w:rPr>
                <w:rStyle w:val="Codefragment"/>
              </w:rPr>
            </w:pPr>
            <w:r>
              <w:t>0x88</w:t>
            </w:r>
          </w:p>
        </w:tc>
        <w:tc>
          <w:tcPr>
            <w:tcW w:type="dxa" w:w="7405"/>
          </w:tcPr>
          <w:p w:rsidRDefault="00476CD1" w:rsidP="002E5918" w:rsidR="00476CD1">
            <w:r>
              <w:t>Specifies the Chinese Big Five character set.</w:t>
            </w:r>
          </w:p>
        </w:tc>
      </w:tr>
      <w:tr w:rsidTr="002E5918" w:rsidR="00476CD1">
        <w:tc>
          <w:tcPr>
            <w:tcW w:type="dxa" w:w="2185"/>
          </w:tcPr>
          <w:p w:rsidRDefault="00476CD1" w:rsidP="002E5918" w:rsidR="00476CD1">
            <w:pPr>
              <w:rPr>
                <w:rStyle w:val="Codefragment"/>
              </w:rPr>
            </w:pPr>
            <w:r>
              <w:t>0xA1</w:t>
            </w:r>
          </w:p>
        </w:tc>
        <w:tc>
          <w:tcPr>
            <w:tcW w:type="dxa" w:w="7405"/>
          </w:tcPr>
          <w:p w:rsidRDefault="00476CD1" w:rsidP="002E5918" w:rsidR="00476CD1">
            <w:r>
              <w:t>Specifies a Greek character set.</w:t>
            </w:r>
          </w:p>
        </w:tc>
      </w:tr>
      <w:tr w:rsidTr="002E5918" w:rsidR="00476CD1">
        <w:tc>
          <w:tcPr>
            <w:tcW w:type="dxa" w:w="2185"/>
          </w:tcPr>
          <w:p w:rsidRDefault="00476CD1" w:rsidP="002E5918" w:rsidR="00476CD1">
            <w:pPr>
              <w:rPr>
                <w:rStyle w:val="Codefragment"/>
              </w:rPr>
            </w:pPr>
            <w:r>
              <w:t>0xA2</w:t>
            </w:r>
          </w:p>
        </w:tc>
        <w:tc>
          <w:tcPr>
            <w:tcW w:type="dxa" w:w="7405"/>
          </w:tcPr>
          <w:p w:rsidRDefault="00476CD1" w:rsidP="002E5918" w:rsidR="00476CD1">
            <w:r>
              <w:t>Specifies a Turkish character set.</w:t>
            </w:r>
          </w:p>
        </w:tc>
      </w:tr>
      <w:tr w:rsidTr="002E5918" w:rsidR="00476CD1">
        <w:tc>
          <w:tcPr>
            <w:tcW w:type="dxa" w:w="2185"/>
          </w:tcPr>
          <w:p w:rsidRDefault="00476CD1" w:rsidP="002E5918" w:rsidR="00476CD1">
            <w:pPr>
              <w:rPr>
                <w:rStyle w:val="Codefragment"/>
              </w:rPr>
            </w:pPr>
            <w:r>
              <w:t>0xA3</w:t>
            </w:r>
          </w:p>
        </w:tc>
        <w:tc>
          <w:tcPr>
            <w:tcW w:type="dxa" w:w="7405"/>
          </w:tcPr>
          <w:p w:rsidRDefault="00476CD1" w:rsidP="002E5918" w:rsidR="00476CD1">
            <w:r>
              <w:t>Specifies a Vietnamese character set.</w:t>
            </w:r>
          </w:p>
        </w:tc>
      </w:tr>
      <w:tr w:rsidTr="002E5918" w:rsidR="00476CD1">
        <w:tc>
          <w:tcPr>
            <w:tcW w:type="dxa" w:w="2185"/>
          </w:tcPr>
          <w:p w:rsidRDefault="00476CD1" w:rsidP="002E5918" w:rsidR="00476CD1">
            <w:pPr>
              <w:rPr>
                <w:rStyle w:val="Codefragment"/>
              </w:rPr>
            </w:pPr>
            <w:r>
              <w:t>0xB1</w:t>
            </w:r>
          </w:p>
        </w:tc>
        <w:tc>
          <w:tcPr>
            <w:tcW w:type="dxa" w:w="7405"/>
          </w:tcPr>
          <w:p w:rsidRDefault="00476CD1" w:rsidP="002E5918" w:rsidR="00476CD1">
            <w:r>
              <w:t>Specifies a Hebrew character set.</w:t>
            </w:r>
          </w:p>
        </w:tc>
      </w:tr>
      <w:tr w:rsidTr="002E5918" w:rsidR="00476CD1">
        <w:tc>
          <w:tcPr>
            <w:tcW w:type="dxa" w:w="2185"/>
          </w:tcPr>
          <w:p w:rsidRDefault="00476CD1" w:rsidP="002E5918" w:rsidR="00476CD1">
            <w:pPr>
              <w:rPr>
                <w:rStyle w:val="Codefragment"/>
              </w:rPr>
            </w:pPr>
            <w:r>
              <w:t>0xB2</w:t>
            </w:r>
          </w:p>
        </w:tc>
        <w:tc>
          <w:tcPr>
            <w:tcW w:type="dxa" w:w="7405"/>
          </w:tcPr>
          <w:p w:rsidRDefault="00476CD1" w:rsidP="002E5918" w:rsidR="00476CD1">
            <w:r>
              <w:t>Specifies an Arabic character set.</w:t>
            </w:r>
          </w:p>
        </w:tc>
      </w:tr>
      <w:tr w:rsidTr="002E5918" w:rsidR="00476CD1">
        <w:tc>
          <w:tcPr>
            <w:tcW w:type="dxa" w:w="2185"/>
          </w:tcPr>
          <w:p w:rsidRDefault="00476CD1" w:rsidP="002E5918" w:rsidR="00476CD1">
            <w:pPr>
              <w:rPr>
                <w:rStyle w:val="Codefragment"/>
              </w:rPr>
            </w:pPr>
            <w:r>
              <w:t>0xBA</w:t>
            </w:r>
          </w:p>
        </w:tc>
        <w:tc>
          <w:tcPr>
            <w:tcW w:type="dxa" w:w="7405"/>
          </w:tcPr>
          <w:p w:rsidRDefault="00476CD1" w:rsidP="002E5918" w:rsidR="00476CD1">
            <w:r>
              <w:t>Specifies a Baltic character set.</w:t>
            </w:r>
          </w:p>
        </w:tc>
      </w:tr>
      <w:tr w:rsidTr="002E5918" w:rsidR="00476CD1">
        <w:tc>
          <w:tcPr>
            <w:tcW w:type="dxa" w:w="2185"/>
          </w:tcPr>
          <w:p w:rsidRDefault="00476CD1" w:rsidP="002E5918" w:rsidR="00476CD1">
            <w:pPr>
              <w:rPr>
                <w:rStyle w:val="Codefragment"/>
              </w:rPr>
            </w:pPr>
            <w:r>
              <w:t>0xCC</w:t>
            </w:r>
          </w:p>
        </w:tc>
        <w:tc>
          <w:tcPr>
            <w:tcW w:type="dxa" w:w="7405"/>
          </w:tcPr>
          <w:p w:rsidRDefault="00476CD1" w:rsidP="002E5918" w:rsidR="00476CD1">
            <w:r>
              <w:t>Specifies a Russian character set.</w:t>
            </w:r>
          </w:p>
        </w:tc>
      </w:tr>
      <w:tr w:rsidTr="002E5918" w:rsidR="00476CD1">
        <w:tc>
          <w:tcPr>
            <w:tcW w:type="dxa" w:w="2185"/>
          </w:tcPr>
          <w:p w:rsidRDefault="00476CD1" w:rsidP="002E5918" w:rsidR="00476CD1">
            <w:pPr>
              <w:rPr>
                <w:rStyle w:val="Codefragment"/>
              </w:rPr>
            </w:pPr>
            <w:r>
              <w:t>0xDE</w:t>
            </w:r>
          </w:p>
        </w:tc>
        <w:tc>
          <w:tcPr>
            <w:tcW w:type="dxa" w:w="7405"/>
          </w:tcPr>
          <w:p w:rsidRDefault="00476CD1" w:rsidP="002E5918" w:rsidR="00476CD1">
            <w:r>
              <w:t>Specifies a Thai character set.</w:t>
            </w:r>
          </w:p>
        </w:tc>
      </w:tr>
      <w:tr w:rsidTr="002E5918" w:rsidR="00476CD1">
        <w:tc>
          <w:tcPr>
            <w:tcW w:type="dxa" w:w="2185"/>
          </w:tcPr>
          <w:p w:rsidRDefault="00476CD1" w:rsidP="002E5918" w:rsidR="00476CD1">
            <w:pPr>
              <w:rPr>
                <w:rStyle w:val="Codefragment"/>
              </w:rPr>
            </w:pPr>
            <w:r>
              <w:t>0xEE</w:t>
            </w:r>
          </w:p>
        </w:tc>
        <w:tc>
          <w:tcPr>
            <w:tcW w:type="dxa" w:w="7405"/>
          </w:tcPr>
          <w:p w:rsidRDefault="00476CD1" w:rsidP="002E5918" w:rsidR="00476CD1">
            <w:r>
              <w:t>Specifies an Eastern European character set.</w:t>
            </w:r>
          </w:p>
        </w:tc>
      </w:tr>
      <w:tr w:rsidTr="002E5918" w:rsidR="00476CD1">
        <w:tc>
          <w:tcPr>
            <w:tcW w:type="dxa" w:w="2185"/>
          </w:tcPr>
          <w:p w:rsidRDefault="00476CD1" w:rsidP="002E5918" w:rsidR="00476CD1">
            <w:pPr>
              <w:rPr>
                <w:rStyle w:val="Codefragment"/>
              </w:rPr>
            </w:pPr>
            <w:r>
              <w:t>0xFF</w:t>
            </w:r>
          </w:p>
        </w:tc>
        <w:tc>
          <w:tcPr>
            <w:tcW w:type="dxa" w:w="7405"/>
          </w:tcPr>
          <w:p w:rsidRDefault="00476CD1" w:rsidP="002E5918" w:rsidR="00476CD1">
            <w:r>
              <w:t xml:space="preserve">Specifies an OEM character set not defined by this Office Open </w:t>
            </w:r>
            <w:hyperlink r:id="rId8">
              <w:r>
                <w:rPr>
                  <w:rStyle w:val="Hyperlink"/>
                </w:rPr>
                <w:t>XML</w:t>
              </w:r>
            </w:hyperlink>
            <w:r>
              <w:t xml:space="preserve"> Standard.</w:t>
            </w:r>
          </w:p>
        </w:tc>
      </w:tr>
      <w:tr w:rsidTr="002E5918" w:rsidR="00476CD1">
        <w:tc>
          <w:tcPr>
            <w:tcW w:type="dxa" w:w="2185"/>
          </w:tcPr>
          <w:p w:rsidRDefault="00476CD1" w:rsidP="002E5918" w:rsidR="00476CD1">
            <w:r>
              <w:t>Any other value</w:t>
            </w:r>
          </w:p>
        </w:tc>
        <w:tc>
          <w:tcPr>
            <w:tcW w:type="dxa" w:w="7405"/>
          </w:tcPr>
          <w:p w:rsidRDefault="00476CD1" w:rsidP="002E5918" w:rsidR="00476CD1">
            <w:r>
              <w:t>Application-defined, may be ignored.</w:t>
            </w:r>
          </w:p>
        </w:tc>
      </w:tr>
    </w:tbl>
    <w:p w:rsidRDefault="00476CD1" w:rsidP="00476CD1" w:rsidR="00476CD1"/>
    <w:p w:rsidRDefault="00476CD1" w:rsidP="00476CD1" w:rsidR="00476CD1">
      <w:r>
        <w:t>If this element is not present, then the character set for this font shall be assumed to be the ANSI character set.</w:t>
      </w:r>
    </w:p>
    <w:p w:rsidRDefault="00476CD1" w:rsidP="00476CD1" w:rsidR="00476CD1">
      <w:r>
        <w:t>[</w:t>
      </w:r>
      <w:r>
        <w:t>Example</w:t>
      </w:r>
      <w:r>
        <w:t>: Consider the following information stored for a single font:</w:t>
      </w:r>
    </w:p>
    <w:p w:rsidRDefault="00476CD1" w:rsidP="00476CD1" w:rsidR="00476CD1">
      <w:pPr>
        <w:pStyle w:val="c"/>
      </w:pPr>
      <w:r>
        <w:t>&lt;w:font w:name="SimSun"&gt;</w:t>
      </w:r>
      <w:r>
        <w:br/>
      </w:r>
      <w:r>
        <w:t xml:space="preserve">  &lt;w:charset w:val="86" /&gt;</w:t>
      </w:r>
      <w:r>
        <w:br/>
      </w:r>
      <w:r>
        <w:t xml:space="preserve">  …</w:t>
      </w:r>
      <w:r>
        <w:br/>
      </w:r>
      <w:r>
        <w:t>&lt;/w:font&gt;</w:t>
      </w:r>
    </w:p>
    <w:p w:rsidRDefault="00476CD1" w:rsidP="00476CD1" w:rsidR="00476CD1">
      <w:r>
        <w:t xml:space="preserve">The </w:t>
      </w:r>
      <w:r>
        <w:t>charset</w:t>
      </w:r>
      <w:r>
        <w:t xml:space="preserve"> element specifies via its </w:t>
      </w:r>
      <w:r>
        <w:t>val</w:t>
      </w:r>
      <w:r>
        <w:t xml:space="preserve"> attribute value of </w:t>
      </w:r>
      <w:r>
        <w:t>86</w:t>
      </w:r>
      <w:r>
        <w:t xml:space="preserve"> that this font uses the GB-2312 character set.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font</w:t>
            </w:r>
            <w:r>
              <w:t xml:space="preserve"> (§</w:t>
            </w:r>
            <w:fldSimple w:instr="REF bookfe825e6e-056e-4ac5-9fbd-244bf2c6b48f \r \h">
              <w:r>
                <w:t>2.8.2.10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(Value)</w:t>
            </w:r>
          </w:p>
        </w:tc>
        <w:tc>
          <w:tcPr>
            <w:tcW w:type="pct" w:w="4000"/>
          </w:tcPr>
          <w:p w:rsidRDefault="00476CD1" w:rsidP="002E5918" w:rsidR="00476CD1">
            <w:r>
              <w:t xml:space="preserve">Specifies a value specified as single octet (two digit) hexadecimal number whose contents are interpreted based on the context of the parent </w:t>
            </w:r>
            <w:hyperlink r:id="rId8">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value for an attribute of </w:t>
            </w:r>
            <w:hyperlink r:id="rId9">
              <w:r>
                <w:rPr>
                  <w:rStyle w:val="Hyperlink"/>
                </w:rPr>
                <w:t>type</w:t>
              </w:r>
            </w:hyperlink>
            <w:r>
              <w:t xml:space="preserve"> </w:t>
            </w:r>
            <w:r>
              <w:t>ST_UCharHexNumber</w:t>
            </w:r>
            <w:r>
              <w:t xml:space="preserve">: </w:t>
            </w:r>
          </w:p>
          <w:p w:rsidRDefault="00476CD1" w:rsidP="002E5918" w:rsidR="00476CD1"/>
          <w:p w:rsidRDefault="00476CD1" w:rsidP="002E5918" w:rsidR="00476CD1">
            <w:pPr>
              <w:pStyle w:val="c"/>
            </w:pPr>
            <w:r>
              <w:t>&lt;w:… w:val="BE"/&gt;</w:t>
            </w:r>
          </w:p>
          <w:p w:rsidRDefault="00476CD1" w:rsidP="002E5918" w:rsidR="00476CD1"/>
          <w:p w:rsidRDefault="00476CD1" w:rsidP="002E5918" w:rsidR="00476CD1">
            <w:r>
              <w:t xml:space="preserve">This value is valid, as it contains two hexadecimal digits, an </w:t>
            </w:r>
            <w:hyperlink r:id="rId10">
              <w:r>
                <w:rPr>
                  <w:rStyle w:val="Hyperlink"/>
                </w:rPr>
                <w:t>encoding</w:t>
              </w:r>
            </w:hyperlink>
            <w:r>
              <w:t xml:space="preserve"> of an octet of the actual decimal number value.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ST_UcharHexNumber</w:t>
              </w:r>
            </w:hyperlink>
            <w:r>
              <w:t/>
            </w:r>
            <w:r>
              <w:t xml:space="preserve"> simple </w:t>
            </w:r>
            <w:hyperlink r:id="rId9">
              <w:r>
                <w:rPr>
                  <w:rStyle w:val="Hyperlink"/>
                </w:rPr>
                <w:t>type</w:t>
              </w:r>
            </w:hyperlink>
            <w:r>
              <w:t xml:space="preserve"> (§</w:t>
            </w:r>
            <w:fldSimple w:instr="REF booka93c50f5-68df-4d1c-8e93-834c7ccb0538 \r \h">
              <w:r>
                <w:t>2.18.106</w:t>
              </w:r>
            </w:fldSimple>
            <w:r>
              <w:t>).</w:t>
            </w:r>
          </w:p>
        </w:tc>
      </w:tr>
    </w:tbl>
    <w:p w:rsidRDefault="00476CD1" w:rsidP="00476CD1" w:rsidR="00476CD1">
      <w:pPr>
        <w:pStyle w:val="KeepWithNext"/>
      </w:pPr>
      <w:r>
        <w:t xml:space="preserve">The following </w:t>
      </w:r>
      <w:hyperlink r:id="rId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="CT_UcharHexNumber"&gt;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w:t>
      </w:r>
      <w:hyperlink r:id="rId9">
        <w:r>
          <w:rPr>
            <w:rStyle w:val="Hyperlink"/>
          </w:rPr>
          <w:t>type</w:t>
        </w:r>
      </w:hyperlink>
      <w:r>
        <w:t>="</w:t>
      </w:r>
      <w:hyperlink r:id="rId11">
        <w:r>
          <w:rPr>
            <w:rStyle w:val="Hyperlink"/>
          </w:rPr>
          <w:t>ST_UcharHexNumber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XML.docx" TargetMode="External"/><Relationship Id="rId9" Type="http://schemas.openxmlformats.org/officeDocument/2006/relationships/hyperlink" Target="type.docx" TargetMode="External"/><Relationship Id="rId10" Type="http://schemas.openxmlformats.org/officeDocument/2006/relationships/hyperlink" Target="encoding.docx" TargetMode="External"/><Relationship Id="rId11" Type="http://schemas.openxmlformats.org/officeDocument/2006/relationships/hyperlink" Target="ST_UcharHexNumber.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