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51_1" w:id="100001"/>
      <w:bookmarkStart w:name="book55fcde82-23cb-42be-b0bf-e6394745c071_1" w:id="100002"/>
      <w:r>
        <w:t>dstrike</w:t>
      </w:r>
      <w:r>
        <w:t xml:space="preserve"> (Double Strikethrough)</w:t>
      </w:r>
      <w:bookmarkEnd w:id="100001"/>
    </w:p>
    <w:bookmarkEnd w:id="100002"/>
    <w:p w:rsidRDefault="00476CD1" w:rsidP="00476CD1" w:rsidR="00476CD1">
      <w:r>
        <w:t>This element specifies that the contents of this run shall be displayed with two horizontal lines through each character displayed on the line.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double strikethrough shall not be applied to the contents of this run.</w:t>
      </w:r>
    </w:p>
    <w:p w:rsidRDefault="00476CD1" w:rsidP="00476CD1" w:rsidR="00476CD1">
      <w:r>
        <w:t xml:space="preserve">This element shall not be present with the </w:t>
      </w:r>
      <w:r>
        <w:t/>
      </w:r>
      <w:hyperlink r:id="rId8">
        <w:r>
          <w:rPr>
            <w:rStyle w:val="Hyperlink"/>
          </w:rPr>
          <w:t>strike</w:t>
        </w:r>
      </w:hyperlink>
      <w:r>
        <w:t/>
      </w:r>
      <w:r>
        <w:t xml:space="preserve"> (§</w:t>
      </w:r>
      <w:fldSimple w:instr=" REF book832c55e8-8b3a-49b2-894a-095b18529eb1 \w \h ">
        <w:r>
          <w:t>2.3.2.35</w:t>
        </w:r>
      </w:fldSimple>
      <w:r>
        <w:t>) property on the same run, since they are mutually exclusive in terms of appearance.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shall have the </w:t>
      </w:r>
      <w:r>
        <w:t>dstrike</w:t>
      </w:r>
      <w:r>
        <w:t xml:space="preserve"> property explicitly turned on for the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&lt;w:dstrike w:val="true"/&gt;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>dstrike</w:t>
      </w:r>
      <w:r>
        <w:t xml:space="preserve"> property is </w:t>
      </w:r>
      <w:r>
        <w:t>true</w:t>
      </w:r>
      <w:r>
        <w:t xml:space="preserve">, so the contents of this run will have two horizontal strikethrough lines.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rike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