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54_1" w:id="100001"/>
      <w:bookmarkStart w:name="bookad1a8f4d-65ab-4d8b-b245-9d524f6a50f5_1" w:id="100002"/>
      <w:r>
        <w:t>em</w:t>
      </w:r>
      <w:r>
        <w:t xml:space="preserve"> (Emphasis Mark)</w:t>
      </w:r>
      <w:bookmarkEnd w:id="100001"/>
    </w:p>
    <w:bookmarkEnd w:id="100002"/>
    <w:p w:rsidRDefault="00476CD1" w:rsidP="00476CD1" w:rsidR="00476CD1">
      <w:r>
        <w:t xml:space="preserve">This element specifies the emphasis mark which shall be displayed for each non-space character in this run. An </w:t>
      </w:r>
      <w:r>
        <w:t>emphasis mark</w:t>
      </w:r>
      <w:r>
        <w:t xml:space="preserve"> is an additional character that is rendered above or below the main character glyph as specified by the contents of the </w:t>
      </w:r>
      <w:r>
        <w:t>val</w:t>
      </w:r>
      <w:r>
        <w:t xml:space="preserve"> attribute.</w:t>
      </w:r>
    </w:p>
    <w:p w:rsidRDefault="00476CD1" w:rsidP="00476CD1" w:rsidR="00476CD1">
      <w:r>
        <w:t xml:space="preserve">If this element is not present, the default value is to leave the formatting applied at previous level in the </w:t>
      </w:r>
      <w:r>
        <w:t>style hierarchy</w:t>
      </w:r>
      <w:r>
        <w:t>. If this element is never applied in the style hierarchy, then no emphasis mark shall be added to each character in the contents of this run.</w:t>
      </w:r>
    </w:p>
    <w:p w:rsidRDefault="00476CD1" w:rsidP="00476CD1" w:rsidR="00476CD1">
      <w:r>
        <w:t>[</w:t>
      </w:r>
      <w:r>
        <w:t>Example</w:t>
      </w:r>
      <w:r>
        <w:t>: Consider a run of text which shall have a dot underneath each character as an emphasis mark. This constraint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&lt;w:em w:val="dot"/&gt;</w:t>
      </w:r>
      <w:r>
        <w:br/>
      </w:r>
      <w:r>
        <w:t>&lt;/w:</w:t>
      </w:r>
      <w:hyperlink r:id="rId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r>
        <w:t xml:space="preserve">This run explicitly declares that the emphasis mark </w:t>
      </w:r>
      <w:hyperlink r:id="rId9">
        <w:r>
          <w:rPr>
            <w:rStyle w:val="Hyperlink"/>
          </w:rPr>
          <w:t>type</w:t>
        </w:r>
      </w:hyperlink>
      <w:r>
        <w:t xml:space="preserve"> is </w:t>
      </w:r>
      <w:r>
        <w:t>dot</w:t>
      </w:r>
      <w:r>
        <w:t xml:space="preserve">, so the contents of this run will have a dot emphasis mark above each character.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3f11d55d-b960-419b-8e46-0dd051b40e9e \r \h">
              <w:r>
                <w:t>2.7.8.1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b283b50-9d92-4e7f-b82d-1462bf5123f5 \r \h">
              <w:r>
                <w:t>2.3.1.29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25ce0a7-1646-46b7-8862-4470079464d4 \r \h">
              <w:r>
                <w:t>2.5.2.26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eb6f25ce-1688-45a4-b463-58e76b6eeb42 \r \h">
              <w:r>
                <w:t>2.3.2.25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28239e56-16e8-47ee-a8df-62082dc6c0b2 \r \h">
              <w:r>
                <w:t>2.3.2.26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5006e152-518e-4326-83c0-6bd656cccfc0 \r \h">
              <w:r>
                <w:t>2.7.4.4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99a4a1bb-1510-457f-8fec-6f3471b01220 \r \h">
              <w:r>
                <w:t>2.3.1.30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8b820c0-e132-4454-aa3e-9866f2fb489e \r \h">
              <w:r>
                <w:t>2.9.26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5473415-01b7-455a-ac99-b3950846a2a3 \r \h">
              <w:r>
                <w:t>2.5.2.27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75f1855-f6e1-4b4a-b5ad-e80930d6e708 \r \h">
              <w:r>
                <w:t>2.7.5.2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(Emphasis Mark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emphasis mark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used for each character in this run.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run of text which shall have a dot underneath each character as an emphasis mark. This constraint is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>&gt;</w:t>
            </w:r>
            <w:r>
              <w:br/>
            </w:r>
            <w:r>
              <w:t xml:space="preserve">  &lt;w:em w:val="dot"/&gt;</w:t>
            </w:r>
            <w:r>
              <w:br/>
            </w:r>
            <w:r>
              <w:t>&lt;/w:</w:t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run explicitly declares that the </w:t>
            </w:r>
            <w:r>
              <w:t>em</w:t>
            </w:r>
            <w:r>
              <w:t xml:space="preserve">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is </w:t>
            </w:r>
            <w:r>
              <w:t>dot</w:t>
            </w:r>
            <w:r>
              <w:t xml:space="preserve">, so the contents of this run will have a dot emphasis mark beneath each character.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0">
              <w:r>
                <w:rPr>
                  <w:rStyle w:val="Hyperlink"/>
                </w:rPr>
                <w:t>ST_Em</w:t>
              </w:r>
            </w:hyperlink>
            <w:r>
              <w:t/>
            </w:r>
            <w:r>
              <w:t xml:space="preserve"> simple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dd2be96-cb87-4cf0-b5d5-15ab183dfaa0 \r \h">
              <w:r>
                <w:t>2.18.28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="CT_Em"&gt;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="val" </w:t>
      </w:r>
      <w:hyperlink r:id="rId9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ST_Em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Pr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ST_Em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