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bookmarkStart w:name="1_bookmark6"/>
    <w:p w:rsidRDefault="00476CD1" w:rsidP="00476CD1" w:rsidR="00476CD1">
      <w:pPr>
        <w:pStyle w:val="Heading4"/>
        <w:numPr>
          <w:ilvl w:val="0"/>
          <w:numId w:val="0"/>
        </w:numPr>
      </w:pPr>
      <w:bookmarkStart w:name="_Ref124004513_1" w:id="100001"/>
      <w:bookmarkStart w:name="_Toc129769368_1" w:id="100002"/>
      <w:bookmarkStart w:name="_Toc133914798_1" w:id="100003"/>
      <w:bookmarkStart w:name="_Toc134495592_1" w:id="100004"/>
      <w:bookmarkStart w:name="_Toc147896343_1" w:id="100005"/>
      <w:r>
        <w:t>Operators</w:t>
      </w:r>
      <w:bookmarkEnd w:id="100006"/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"field:operator" </w:instrText>
      </w:r>
      <w:r>
        <w:fldChar w:fldCharType="end"/>
      </w:r>
    </w:p>
    <w:p w:rsidRDefault="00476CD1" w:rsidP="00476CD1" w:rsidR="00476CD1">
      <w:r>
        <w:t xml:space="preserve">The </w:t>
      </w:r>
      <w:r>
        <w:t>operator</w:t>
      </w:r>
      <w:r>
        <w:t xml:space="preserve">s permitted in </w:t>
      </w:r>
      <w:r>
        <w:t>expression</w:t>
      </w:r>
      <w:r>
        <w:t xml:space="preserve"> are:</w:t>
      </w:r>
    </w:p>
    <w:tbl>
      <w:tblPr>
        <w:tblStyle w:val="IndentedElementTable"/>
        <w:tblW w:type="auto" w:w="0"/>
        <w:tblLayout w:type="fixed"/>
        <w:tblLook w:val="0020" w:noVBand="0" w:noHBand="0" w:lastColumn="0" w:firstColumn="0" w:lastRow="0" w:firstRow="1"/>
      </w:tblPr>
      <w:tblGrid>
        <w:gridCol w:w="1311"/>
        <w:gridCol w:w="2397"/>
        <w:gridCol w:w="2013"/>
      </w:tblGrid>
      <w:tr w:rsidTr="002E5918" w:rsidR="00476CD1" w:rsidRPr="000C22E9">
        <w:trPr>
          <w:cnfStyle w:val="100000000000"/>
        </w:trPr>
        <w:tc>
          <w:tcPr>
            <w:tcW w:type="dxa" w:w="5721"/>
            <w:gridSpan w:val="3"/>
          </w:tcPr>
          <w:p w:rsidRDefault="00476CD1" w:rsidP="002E5918" w:rsidR="00476CD1">
            <w:r>
              <w:t>Operators</w:t>
            </w:r>
          </w:p>
        </w:tc>
      </w:tr>
      <w:tr w:rsidTr="002E5918" w:rsidR="00476CD1" w:rsidRPr="000C22E9">
        <w:tc>
          <w:tcPr>
            <w:tcW w:type="dxa" w:w="1311"/>
          </w:tcPr>
          <w:p w:rsidRDefault="00476CD1" w:rsidP="002E5918" w:rsidR="00476CD1">
            <w:r>
              <w:t>Operator</w:t>
            </w:r>
          </w:p>
        </w:tc>
        <w:tc>
          <w:tcPr>
            <w:tcW w:type="dxa" w:w="2397"/>
          </w:tcPr>
          <w:p w:rsidRDefault="00476CD1" w:rsidP="002E5918" w:rsidR="00476CD1">
            <w:r>
              <w:t>Description</w:t>
            </w:r>
          </w:p>
        </w:tc>
        <w:tc>
          <w:tcPr>
            <w:tcW w:type="dxa" w:w="2013"/>
          </w:tcPr>
          <w:p w:rsidRDefault="00476CD1" w:rsidP="002E5918" w:rsidR="00476CD1">
            <w:r>
              <w:t>Precedence</w:t>
            </w:r>
          </w:p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-</w:t>
            </w:r>
          </w:p>
        </w:tc>
        <w:tc>
          <w:tcPr>
            <w:tcW w:type="dxa" w:w="2397"/>
          </w:tcPr>
          <w:p w:rsidRDefault="00476CD1" w:rsidP="002E5918" w:rsidR="00476CD1">
            <w:r>
              <w:t xml:space="preserve">Unary minus </w:t>
            </w:r>
          </w:p>
        </w:tc>
        <w:tc>
          <w:tcPr>
            <w:tcW w:type="dxa" w:w="2013"/>
          </w:tcPr>
          <w:p w:rsidRDefault="00476CD1" w:rsidP="002E5918" w:rsidR="00476CD1">
            <w:r>
              <w:t>highest</w:t>
            </w:r>
          </w:p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^</w:t>
            </w:r>
          </w:p>
        </w:tc>
        <w:tc>
          <w:tcPr>
            <w:tcW w:type="dxa" w:w="2397"/>
          </w:tcPr>
          <w:p w:rsidRDefault="00476CD1" w:rsidP="002E5918" w:rsidR="00476CD1">
            <w:r>
              <w:t>Powers and roots</w:t>
            </w:r>
          </w:p>
        </w:tc>
        <w:tc>
          <w:tcPr>
            <w:tcW w:type="dxa" w:w="2013"/>
          </w:tcPr>
          <w:p w:rsidRDefault="00476CD1" w:rsidP="002E5918" w:rsidR="00476CD1"/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*</w:t>
            </w:r>
          </w:p>
        </w:tc>
        <w:tc>
          <w:tcPr>
            <w:tcW w:type="dxa" w:w="2397"/>
          </w:tcPr>
          <w:p w:rsidRDefault="00476CD1" w:rsidP="002E5918" w:rsidR="00476CD1">
            <w:r>
              <w:t>Multiplication</w:t>
            </w:r>
          </w:p>
        </w:tc>
        <w:tc>
          <w:tcPr>
            <w:tcW w:type="dxa" w:w="2013"/>
          </w:tcPr>
          <w:p w:rsidRDefault="00476CD1" w:rsidP="002E5918" w:rsidR="00476CD1"/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/</w:t>
            </w:r>
          </w:p>
        </w:tc>
        <w:tc>
          <w:tcPr>
            <w:tcW w:type="dxa" w:w="2397"/>
          </w:tcPr>
          <w:p w:rsidRDefault="00476CD1" w:rsidP="002E5918" w:rsidR="00476CD1">
            <w:r>
              <w:t xml:space="preserve">Division </w:t>
            </w:r>
          </w:p>
        </w:tc>
        <w:tc>
          <w:tcPr>
            <w:tcW w:type="dxa" w:w="2013"/>
          </w:tcPr>
          <w:p w:rsidRDefault="00476CD1" w:rsidP="002E5918" w:rsidR="00476CD1"/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%</w:t>
            </w:r>
          </w:p>
        </w:tc>
        <w:tc>
          <w:tcPr>
            <w:tcW w:type="dxa" w:w="2397"/>
          </w:tcPr>
          <w:p w:rsidRDefault="00476CD1" w:rsidP="002E5918" w:rsidR="00476CD1">
            <w:r>
              <w:t>Percentage</w:t>
            </w:r>
          </w:p>
        </w:tc>
        <w:tc>
          <w:tcPr>
            <w:tcW w:type="dxa" w:w="2013"/>
          </w:tcPr>
          <w:p w:rsidRDefault="00476CD1" w:rsidP="002E5918" w:rsidR="00476CD1"/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+</w:t>
            </w:r>
          </w:p>
        </w:tc>
        <w:tc>
          <w:tcPr>
            <w:tcW w:type="dxa" w:w="2397"/>
          </w:tcPr>
          <w:p w:rsidRDefault="00476CD1" w:rsidP="002E5918" w:rsidR="00476CD1">
            <w:r>
              <w:t>Addition</w:t>
            </w:r>
          </w:p>
        </w:tc>
        <w:tc>
          <w:tcPr>
            <w:tcW w:type="dxa" w:w="2013"/>
          </w:tcPr>
          <w:p w:rsidRDefault="00476CD1" w:rsidP="002E5918" w:rsidR="00476CD1"/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-</w:t>
            </w:r>
          </w:p>
        </w:tc>
        <w:tc>
          <w:tcPr>
            <w:tcW w:type="dxa" w:w="2397"/>
          </w:tcPr>
          <w:p w:rsidRDefault="00476CD1" w:rsidP="002E5918" w:rsidR="00476CD1">
            <w:r>
              <w:t xml:space="preserve">Subtraction </w:t>
            </w:r>
          </w:p>
        </w:tc>
        <w:tc>
          <w:tcPr>
            <w:tcW w:type="dxa" w:w="2013"/>
          </w:tcPr>
          <w:p w:rsidRDefault="00476CD1" w:rsidP="002E5918" w:rsidR="00476CD1"/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=</w:t>
            </w:r>
          </w:p>
        </w:tc>
        <w:tc>
          <w:tcPr>
            <w:tcW w:type="dxa" w:w="2397"/>
          </w:tcPr>
          <w:p w:rsidRDefault="00476CD1" w:rsidP="002E5918" w:rsidR="00476CD1">
            <w:r>
              <w:t xml:space="preserve">Equal to </w:t>
            </w:r>
          </w:p>
        </w:tc>
        <w:tc>
          <w:tcPr>
            <w:tcW w:type="dxa" w:w="2013"/>
          </w:tcPr>
          <w:p w:rsidRDefault="00476CD1" w:rsidP="002E5918" w:rsidR="00476CD1"/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&lt;&gt;</w:t>
            </w:r>
          </w:p>
        </w:tc>
        <w:tc>
          <w:tcPr>
            <w:tcW w:type="dxa" w:w="2397"/>
          </w:tcPr>
          <w:p w:rsidRDefault="00476CD1" w:rsidP="002E5918" w:rsidR="00476CD1">
            <w:r>
              <w:t>Not equal to</w:t>
            </w:r>
          </w:p>
        </w:tc>
        <w:tc>
          <w:tcPr>
            <w:tcW w:type="dxa" w:w="2013"/>
          </w:tcPr>
          <w:p w:rsidRDefault="00476CD1" w:rsidP="002E5918" w:rsidR="00476CD1"/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&lt;</w:t>
            </w:r>
          </w:p>
        </w:tc>
        <w:tc>
          <w:tcPr>
            <w:tcW w:type="dxa" w:w="2397"/>
          </w:tcPr>
          <w:p w:rsidRDefault="00476CD1" w:rsidP="002E5918" w:rsidR="00476CD1">
            <w:r>
              <w:t>Less than</w:t>
            </w:r>
          </w:p>
        </w:tc>
        <w:tc>
          <w:tcPr>
            <w:tcW w:type="dxa" w:w="2013"/>
          </w:tcPr>
          <w:p w:rsidRDefault="00476CD1" w:rsidP="002E5918" w:rsidR="00476CD1">
            <w:r>
              <w:t>lowest</w:t>
            </w:r>
          </w:p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&lt;=</w:t>
            </w:r>
          </w:p>
        </w:tc>
        <w:tc>
          <w:tcPr>
            <w:tcW w:type="dxa" w:w="2397"/>
          </w:tcPr>
          <w:p w:rsidRDefault="00476CD1" w:rsidP="002E5918" w:rsidR="00476CD1">
            <w:r>
              <w:t>Less than or equal to</w:t>
            </w:r>
          </w:p>
        </w:tc>
        <w:tc>
          <w:tcPr>
            <w:tcW w:type="dxa" w:w="2013"/>
          </w:tcPr>
          <w:p w:rsidRDefault="00476CD1" w:rsidP="002E5918" w:rsidR="00476CD1"/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&gt;</w:t>
            </w:r>
          </w:p>
        </w:tc>
        <w:tc>
          <w:tcPr>
            <w:tcW w:type="dxa" w:w="2397"/>
          </w:tcPr>
          <w:p w:rsidRDefault="00476CD1" w:rsidP="002E5918" w:rsidR="00476CD1">
            <w:r>
              <w:t>Greater than</w:t>
            </w:r>
          </w:p>
        </w:tc>
        <w:tc>
          <w:tcPr>
            <w:tcW w:type="dxa" w:w="2013"/>
          </w:tcPr>
          <w:p w:rsidRDefault="00476CD1" w:rsidP="002E5918" w:rsidR="00476CD1"/>
        </w:tc>
      </w:tr>
      <w:tr w:rsidTr="002E5918" w:rsidR="00476CD1">
        <w:tc>
          <w:tcPr>
            <w:tcW w:type="dxa" w:w="1311"/>
          </w:tcPr>
          <w:p w:rsidRDefault="00476CD1" w:rsidP="002E5918" w:rsidR="00476CD1">
            <w:pPr>
              <w:rPr>
                <w:rStyle w:val="Codefragment"/>
              </w:rPr>
            </w:pPr>
            <w:r>
              <w:t>&gt;=</w:t>
            </w:r>
          </w:p>
        </w:tc>
        <w:tc>
          <w:tcPr>
            <w:tcW w:type="dxa" w:w="2397"/>
          </w:tcPr>
          <w:p w:rsidRDefault="00476CD1" w:rsidP="002E5918" w:rsidR="00476CD1">
            <w:r>
              <w:t>Greater than or equal to</w:t>
            </w:r>
          </w:p>
        </w:tc>
        <w:tc>
          <w:tcPr>
            <w:tcW w:type="dxa" w:w="2013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Operators in </w:t>
      </w:r>
      <w:r>
        <w:t>expression</w:t>
      </w:r>
      <w:r>
        <w:t xml:space="preserve"> having the same precedence associate left-to-right.</w:t>
      </w:r>
    </w:p>
    <w:p w:rsidRDefault="00476CD1" w:rsidP="00476CD1" w:rsidR="00476CD1">
      <w:r>
        <w:t>[</w:t>
      </w:r>
      <w:r>
        <w:t>Example</w:t>
      </w:r>
      <w:r>
        <w:t xml:space="preserve">: Given that </w:t>
      </w:r>
      <w:r>
        <w:t>X</w:t>
      </w:r>
      <w:r>
        <w:t xml:space="preserve"> is a bookmark for the text 4, and </w:t>
      </w:r>
      <w:r>
        <w:t>Y</w:t>
      </w:r>
      <w:r>
        <w:t xml:space="preserve"> is a bookmark for the text 2, the field</w:t>
      </w:r>
    </w:p>
    <w:p w:rsidRDefault="00476CD1" w:rsidP="00476CD1" w:rsidR="00476CD1">
      <w:pPr>
        <w:pStyle w:val="c"/>
      </w:pPr>
      <w:r>
        <w:t>=((-1 + X^2) * 3 - Y)/2</w:t>
      </w:r>
    </w:p>
    <w:p w:rsidRDefault="00476CD1" w:rsidP="00476CD1" w:rsidR="00476CD1">
      <w:r>
        <w:t xml:space="preserve">produces the </w:t>
      </w:r>
      <w:hyperlink r:id="rId8">
        <w:r>
          <w:rPr>
            <w:rStyle w:val="Hyperlink"/>
          </w:rPr>
          <w:t>result</w:t>
        </w:r>
      </w:hyperlink>
      <w:r>
        <w:t xml:space="preserve"> </w:t>
      </w:r>
      <w:r>
        <w:t>21.5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>The equality, inequality, and relational operators yield 1 for true and 0 for false. An expression with value 0 tests logically false while one with any non-zero value tests true.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