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bookmarkStart w:name="1_bookmark6"/>
    <w:p w:rsidRDefault="00476CD1" w:rsidP="00476CD1" w:rsidR="00476CD1">
      <w:pPr>
        <w:pStyle w:val="Heading4"/>
        <w:numPr>
          <w:ilvl w:val="0"/>
          <w:numId w:val="0"/>
        </w:numPr>
      </w:pPr>
      <w:bookmarkStart w:name="_Ref124076150_1" w:id="100001"/>
      <w:bookmarkStart w:name="_Toc129769373_1" w:id="100002"/>
      <w:bookmarkStart w:name="_Toc133914803_1" w:id="100003"/>
      <w:bookmarkStart w:name="_Toc134495597_1" w:id="100004"/>
      <w:bookmarkStart w:name="_Toc147896348_1" w:id="100005"/>
      <w:r>
        <w:t>Numeric formatting</w:t>
      </w:r>
      <w:bookmarkEnd w:id="100006"/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"field:formatting switch:numeric" \b </w:instrText>
      </w:r>
      <w:r>
        <w:fldChar w:fldCharType="end"/>
      </w:r>
    </w:p>
    <w:p w:rsidRDefault="00476CD1" w:rsidP="00476CD1" w:rsidR="00476CD1">
      <w:pPr>
        <w:pStyle w:val="Grammar"/>
        <w:rPr>
          <w:rStyle w:val="Terminal"/>
        </w:rPr>
      </w:pPr>
      <w:r>
        <w:t>numeric-formatting-switch:</w:t>
      </w:r>
      <w:r>
        <w:br/>
      </w:r>
      <w:r>
        <w:t>\#</w:t>
      </w:r>
      <w:r>
        <w:t xml:space="preserve">   </w:t>
      </w:r>
      <w:r>
        <w:t>[</w:t>
      </w:r>
      <w:r>
        <w:t xml:space="preserve"> </w:t>
      </w:r>
      <w:r>
        <w:t>"</w:t>
      </w:r>
      <w:r>
        <w:t xml:space="preserve"> </w:t>
      </w:r>
      <w:r>
        <w:t>]</w:t>
      </w:r>
      <w:r>
        <w:t xml:space="preserve">  switch-argument </w:t>
      </w:r>
      <w:r>
        <w:t>[</w:t>
      </w:r>
      <w:r>
        <w:t xml:space="preserve"> </w:t>
      </w:r>
      <w:r>
        <w:t>"</w:t>
      </w:r>
      <w:r>
        <w:t xml:space="preserve"> </w:t>
      </w:r>
      <w:r>
        <w:t>]</w:t>
      </w:r>
      <w:r>
        <w:t xml:space="preserve"> </w:t>
      </w:r>
      <w:r>
        <w:fldChar w:fldCharType="begin"/>
      </w:r>
      <w:r>
        <w:instrText xml:space="preserve"> XE "\\#" \b </w:instrText>
      </w:r>
      <w:r>
        <w:fldChar w:fldCharType="end"/>
      </w:r>
    </w:p>
    <w:p w:rsidRDefault="00476CD1" w:rsidP="00476CD1" w:rsidR="00476CD1">
      <w:r>
        <w:t xml:space="preserve">A </w:t>
      </w:r>
      <w:r>
        <w:t>numeric-formatting-switch</w:t>
      </w:r>
      <w:r>
        <w:t xml:space="preserve"> specifies the </w:t>
      </w:r>
      <w:hyperlink r:id="rId8">
        <w:r>
          <w:rPr>
            <w:rStyle w:val="Hyperlink"/>
          </w:rPr>
          <w:t>format</w:t>
        </w:r>
      </w:hyperlink>
      <w:r>
        <w:t xml:space="preserve"> of a numeric result. If the </w:t>
      </w:r>
      <w:hyperlink r:id="rId9">
        <w:r>
          <w:rPr>
            <w:rStyle w:val="Hyperlink"/>
          </w:rPr>
          <w:t>result</w:t>
        </w:r>
      </w:hyperlink>
      <w:r>
        <w:t xml:space="preserve"> of a field is not a number, this switch has no effect.</w:t>
      </w:r>
    </w:p>
    <w:p w:rsidRDefault="00476CD1" w:rsidP="00476CD1" w:rsidR="00476CD1">
      <w:r>
        <w:t xml:space="preserve">Quotation marks are required around </w:t>
      </w:r>
      <w:r>
        <w:t>switch-argument</w:t>
      </w:r>
      <w:r>
        <w:t xml:space="preserve"> if it contains white space; otherwise, they are optional.</w:t>
      </w:r>
    </w:p>
    <w:p w:rsidRDefault="00476CD1" w:rsidP="00476CD1" w:rsidR="00476CD1">
      <w:r>
        <w:t xml:space="preserve">If no </w:t>
      </w:r>
      <w:r>
        <w:t>numeric-formatting-switch</w:t>
      </w:r>
      <w:r>
        <w:t xml:space="preserve"> is present, a numeric </w:t>
      </w:r>
      <w:hyperlink r:id="rId9">
        <w:r>
          <w:rPr>
            <w:rStyle w:val="Hyperlink"/>
          </w:rPr>
          <w:t>result</w:t>
        </w:r>
      </w:hyperlink>
      <w:r>
        <w:t xml:space="preserve"> is formatted without leading spaces or trailing fractional zeros. If the </w:t>
      </w:r>
      <w:hyperlink r:id="rId9">
        <w:r>
          <w:rPr>
            <w:rStyle w:val="Hyperlink"/>
          </w:rPr>
          <w:t>result</w:t>
        </w:r>
      </w:hyperlink>
      <w:r>
        <w:t xml:space="preserve"> is negative, a leading minus sign is present. If the </w:t>
      </w:r>
      <w:hyperlink r:id="rId9">
        <w:r>
          <w:rPr>
            <w:rStyle w:val="Hyperlink"/>
          </w:rPr>
          <w:t>result</w:t>
        </w:r>
      </w:hyperlink>
      <w:r>
        <w:t xml:space="preserve"> is a whole number, no radix point is present.</w:t>
      </w:r>
    </w:p>
    <w:p w:rsidRDefault="00476CD1" w:rsidP="00476CD1" w:rsidR="00476CD1">
      <w:r>
        <w:t xml:space="preserve">A numeric </w:t>
      </w:r>
      <w:r>
        <w:t>switch-argument</w:t>
      </w:r>
      <w:r>
        <w:t xml:space="preserve"> is made up of a series of </w:t>
      </w:r>
      <w:r>
        <w:t/>
      </w:r>
      <w:hyperlink r:id="rId10">
        <w:r>
          <w:rPr>
            <w:rStyle w:val="Hyperlink"/>
          </w:rPr>
          <w:t>picture</w:t>
        </w:r>
      </w:hyperlink>
      <w:r>
        <w:t xml:space="preserve"> items</w:t>
      </w:r>
      <w:r>
        <w:t>.</w:t>
      </w:r>
      <w:r>
        <w:fldChar w:fldCharType="begin"/>
      </w:r>
      <w:r>
        <w:instrText xml:space="preserve"> XE "picture item:numeric" \b </w:instrText>
      </w:r>
      <w:r>
        <w:fldChar w:fldCharType="end"/>
      </w:r>
    </w:p>
    <w:tbl>
      <w:tblPr>
        <w:tblStyle w:val="IndentedElementTable"/>
        <w:tblW w:type="dxa" w:w="9465"/>
        <w:tblLayout w:type="fixed"/>
        <w:tblLook w:val="0020" w:noVBand="0" w:noHBand="0" w:lastColumn="0" w:firstColumn="0" w:lastRow="0" w:firstRow="1"/>
      </w:tblPr>
      <w:tblGrid>
        <w:gridCol w:w="1965"/>
        <w:gridCol w:w="7500"/>
      </w:tblGrid>
      <w:tr w:rsidTr="002E5918" w:rsidR="00476CD1" w:rsidRPr="006E08A6">
        <w:trPr>
          <w:cnfStyle w:val="100000000000"/>
        </w:trPr>
        <w:tc>
          <w:tcPr>
            <w:tcW w:type="dxa" w:w="9465"/>
            <w:gridSpan w:val="2"/>
          </w:tcPr>
          <w:p w:rsidRDefault="00476CD1" w:rsidP="002E5918" w:rsidR="00476CD1">
            <w:r>
              <w:t>Numeric Formatting Picture Items</w:t>
            </w:r>
          </w:p>
        </w:tc>
      </w:tr>
      <w:tr w:rsidTr="002E5918" w:rsidR="00476CD1" w:rsidRPr="00440C2D">
        <w:tc>
          <w:tcPr>
            <w:tcW w:type="dxa" w:w="1965"/>
          </w:tcPr>
          <w:p w:rsidRDefault="00476CD1" w:rsidP="002E5918" w:rsidR="00476CD1">
            <w:r>
              <w:t>Picture Item</w:t>
            </w:r>
          </w:p>
        </w:tc>
        <w:tc>
          <w:tcPr>
            <w:tcW w:type="dxa" w:w="7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dxa" w:w="1965"/>
          </w:tcPr>
          <w:p w:rsidRDefault="00476CD1" w:rsidP="002E5918" w:rsidR="00476CD1">
            <w:pPr>
              <w:rPr>
                <w:rStyle w:val="Codefragment"/>
              </w:rPr>
            </w:pPr>
            <w:r>
              <w:t>0</w:t>
            </w:r>
          </w:p>
        </w:tc>
        <w:tc>
          <w:tcPr>
            <w:tcW w:type="dxa" w:w="7500"/>
          </w:tcPr>
          <w:p w:rsidRDefault="00476CD1" w:rsidP="002E5918" w:rsidR="00476CD1">
            <w:r>
              <w:t xml:space="preserve">Specifies the requisite numeric positions to display in the result. If the </w:t>
            </w:r>
            <w:hyperlink r:id="rId9">
              <w:r>
                <w:rPr>
                  <w:rStyle w:val="Hyperlink"/>
                </w:rPr>
                <w:t>result</w:t>
              </w:r>
            </w:hyperlink>
            <w:r>
              <w:t xml:space="preserve"> does not include a digit in that </w:t>
            </w:r>
            <w:hyperlink r:id="rId11">
              <w:r>
                <w:rPr>
                  <w:rStyle w:val="Hyperlink"/>
                </w:rPr>
                <w:t>position</w:t>
              </w:r>
            </w:hyperlink>
            <w:r>
              <w:t>, 0 is displayed. [</w:t>
            </w:r>
            <w:r>
              <w:t>Example</w:t>
            </w:r>
            <w:r>
              <w:t xml:space="preserve">: In a US-English context, </w:t>
            </w:r>
            <w:r>
              <w:t>=4+5 \# 00.00</w:t>
            </w:r>
            <w:r>
              <w:t xml:space="preserve"> displays "</w:t>
            </w:r>
            <w:r>
              <w:t>09.00</w:t>
            </w:r>
            <w:r>
              <w:t xml:space="preserve">". </w:t>
            </w:r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dxa" w:w="1965"/>
          </w:tcPr>
          <w:p w:rsidRDefault="00476CD1" w:rsidP="002E5918" w:rsidR="00476CD1">
            <w:pPr>
              <w:rPr>
                <w:rStyle w:val="Codefragment"/>
              </w:rPr>
            </w:pPr>
            <w:r>
              <w:t>#</w:t>
            </w:r>
          </w:p>
        </w:tc>
        <w:tc>
          <w:tcPr>
            <w:tcW w:type="dxa" w:w="7500"/>
          </w:tcPr>
          <w:p w:rsidRDefault="00476CD1" w:rsidP="002E5918" w:rsidR="00476CD1">
            <w:r>
              <w:t xml:space="preserve">Specifies the requisite numeric positions to display in the result. If the </w:t>
            </w:r>
            <w:hyperlink r:id="rId9">
              <w:r>
                <w:rPr>
                  <w:rStyle w:val="Hyperlink"/>
                </w:rPr>
                <w:t>result</w:t>
              </w:r>
            </w:hyperlink>
            <w:r>
              <w:t xml:space="preserve"> does not include a digit in that </w:t>
            </w:r>
            <w:hyperlink r:id="rId11">
              <w:r>
                <w:rPr>
                  <w:rStyle w:val="Hyperlink"/>
                </w:rPr>
                <w:t>position</w:t>
              </w:r>
            </w:hyperlink>
            <w:r>
              <w:t>, a space is displayed. Extra fractional digits are rounded off. [</w:t>
            </w:r>
            <w:r>
              <w:t>Example</w:t>
            </w:r>
            <w:r>
              <w:t xml:space="preserve">: </w:t>
            </w:r>
            <w:r>
              <w:t>=9+6 \# $###</w:t>
            </w:r>
            <w:r>
              <w:t xml:space="preserve"> displays "</w:t>
            </w:r>
            <w:r>
              <w:t>$ 15</w:t>
            </w:r>
            <w:r>
              <w:t xml:space="preserve">". </w:t>
            </w:r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dxa" w:w="1965"/>
          </w:tcPr>
          <w:p w:rsidRDefault="00476CD1" w:rsidP="002E5918" w:rsidR="00476CD1">
            <w:pPr>
              <w:rPr>
                <w:rStyle w:val="Codefragment"/>
              </w:rPr>
            </w:pPr>
            <w:r>
              <w:t>x</w:t>
            </w:r>
          </w:p>
        </w:tc>
        <w:tc>
          <w:tcPr>
            <w:tcW w:type="dxa" w:w="7500"/>
          </w:tcPr>
          <w:p w:rsidRDefault="00476CD1" w:rsidP="002E5918" w:rsidR="00476CD1">
            <w:r>
              <w:t xml:space="preserve">Drops digits to the left of the x placeholder. If the </w:t>
            </w:r>
            <w:hyperlink r:id="rId12">
              <w:r>
                <w:rPr>
                  <w:rStyle w:val="Hyperlink"/>
                </w:rPr>
                <w:t>placeholder</w:t>
              </w:r>
            </w:hyperlink>
            <w:r>
              <w:t xml:space="preserve"> is to the right of the decimal point, the </w:t>
            </w:r>
            <w:hyperlink r:id="rId9">
              <w:r>
                <w:rPr>
                  <w:rStyle w:val="Hyperlink"/>
                </w:rPr>
                <w:t>result</w:t>
              </w:r>
            </w:hyperlink>
            <w:r>
              <w:t xml:space="preserve"> is rounded to that place. [</w:t>
            </w:r>
            <w:r>
              <w:t>Example</w:t>
            </w:r>
            <w:r>
              <w:t xml:space="preserve">: In a US-English context, </w:t>
            </w:r>
            <w:r>
              <w:t>=111053+111439 \# x##</w:t>
            </w:r>
            <w:r>
              <w:t xml:space="preserve"> displays "</w:t>
            </w:r>
            <w:r>
              <w:t>492</w:t>
            </w:r>
            <w:r>
              <w:t xml:space="preserve">", </w:t>
            </w:r>
            <w:r>
              <w:t>=1/8 \# 0.00x</w:t>
            </w:r>
            <w:r>
              <w:t xml:space="preserve"> displays "</w:t>
            </w:r>
            <w:r>
              <w:t>0.125</w:t>
            </w:r>
            <w:r>
              <w:t xml:space="preserve">", and </w:t>
            </w:r>
            <w:r>
              <w:t>=3/4 \# .x</w:t>
            </w:r>
            <w:r>
              <w:t xml:space="preserve"> displays "</w:t>
            </w:r>
            <w:r>
              <w:t>.8</w:t>
            </w:r>
            <w:r>
              <w:t xml:space="preserve">". </w:t>
            </w:r>
            <w:r>
              <w:t>end example</w:t>
            </w:r>
            <w:r>
              <w:t xml:space="preserve">] </w:t>
            </w:r>
          </w:p>
        </w:tc>
      </w:tr>
      <w:tr w:rsidTr="002E5918" w:rsidR="00476CD1">
        <w:tc>
          <w:tcPr>
            <w:tcW w:type="dxa" w:w="1965"/>
          </w:tcPr>
          <w:p w:rsidRDefault="00476CD1" w:rsidP="002E5918" w:rsidR="00476CD1">
            <w:pPr>
              <w:rPr>
                <w:rStyle w:val="Codefragment"/>
              </w:rPr>
            </w:pPr>
            <w:r>
              <w:t>.</w:t>
            </w:r>
          </w:p>
        </w:tc>
        <w:tc>
          <w:tcPr>
            <w:tcW w:type="dxa" w:w="7500"/>
          </w:tcPr>
          <w:p w:rsidRDefault="00476CD1" w:rsidP="002E5918" w:rsidR="00476CD1">
            <w:r>
              <w:t>Indicates the radix-point position. [</w:t>
            </w:r>
            <w:r>
              <w:t>Example</w:t>
            </w:r>
            <w:r>
              <w:t xml:space="preserve">: In a US-English context, </w:t>
            </w:r>
            <w:r>
              <w:t>=95.4 \# $###.00</w:t>
            </w:r>
            <w:r>
              <w:t xml:space="preserve"> displays "</w:t>
            </w:r>
            <w:r>
              <w:t>$ 95.40</w:t>
            </w:r>
            <w:r>
              <w:t xml:space="preserve">. </w:t>
            </w:r>
            <w:r>
              <w:t>end example</w:t>
            </w:r>
            <w:r>
              <w:t>] The radix-point character displayed is locale-specific.</w:t>
            </w:r>
          </w:p>
        </w:tc>
      </w:tr>
      <w:tr w:rsidTr="002E5918" w:rsidR="00476CD1">
        <w:tc>
          <w:tcPr>
            <w:tcW w:type="dxa" w:w="1965"/>
          </w:tcPr>
          <w:p w:rsidRDefault="00476CD1" w:rsidP="002E5918" w:rsidR="00476CD1">
            <w:pPr>
              <w:rPr>
                <w:rStyle w:val="Codefragment"/>
              </w:rPr>
            </w:pPr>
            <w:r>
              <w:t>,</w:t>
            </w:r>
          </w:p>
        </w:tc>
        <w:tc>
          <w:tcPr>
            <w:tcW w:type="dxa" w:w="7500"/>
          </w:tcPr>
          <w:p w:rsidRDefault="00476CD1" w:rsidP="002E5918" w:rsidR="00476CD1">
            <w:r>
              <w:t>Separates groups of three digits. [</w:t>
            </w:r>
            <w:r>
              <w:t>Example</w:t>
            </w:r>
            <w:r>
              <w:t xml:space="preserve">: In a US-English context, </w:t>
            </w:r>
            <w:r>
              <w:t>=2456800 \# $#,###,###</w:t>
            </w:r>
            <w:r>
              <w:t xml:space="preserve"> displays "</w:t>
            </w:r>
            <w:r>
              <w:t>2,456,800</w:t>
            </w:r>
            <w:r>
              <w:t xml:space="preserve">". </w:t>
            </w:r>
            <w:r>
              <w:t>end example</w:t>
            </w:r>
            <w:r>
              <w:t xml:space="preserve">] The </w:t>
            </w:r>
            <w:hyperlink r:id="rId13">
              <w:r>
                <w:rPr>
                  <w:rStyle w:val="Hyperlink"/>
                </w:rPr>
                <w:t>separator</w:t>
              </w:r>
            </w:hyperlink>
            <w:r>
              <w:t xml:space="preserve"> character displayed is locale-specific.</w:t>
            </w:r>
          </w:p>
        </w:tc>
      </w:tr>
      <w:tr w:rsidTr="002E5918" w:rsidR="00476CD1">
        <w:tc>
          <w:tcPr>
            <w:tcW w:type="dxa" w:w="1965"/>
          </w:tcPr>
          <w:p w:rsidRDefault="00476CD1" w:rsidP="002E5918" w:rsidR="00476CD1">
            <w:pPr>
              <w:rPr>
                <w:rStyle w:val="Codefragment"/>
              </w:rPr>
            </w:pPr>
            <w:r>
              <w:t>-</w:t>
            </w:r>
          </w:p>
        </w:tc>
        <w:tc>
          <w:tcPr>
            <w:tcW w:type="dxa" w:w="7500"/>
          </w:tcPr>
          <w:p w:rsidRDefault="00476CD1" w:rsidP="002E5918" w:rsidR="00476CD1">
            <w:r>
              <w:t xml:space="preserve">Prepends a minus sign to a negative </w:t>
            </w:r>
            <w:hyperlink r:id="rId9">
              <w:r>
                <w:rPr>
                  <w:rStyle w:val="Hyperlink"/>
                </w:rPr>
                <w:t>result</w:t>
              </w:r>
            </w:hyperlink>
            <w:r>
              <w:t xml:space="preserve">, or prepends a space if the </w:t>
            </w:r>
            <w:hyperlink r:id="rId9">
              <w:r>
                <w:rPr>
                  <w:rStyle w:val="Hyperlink"/>
                </w:rPr>
                <w:t>result</w:t>
              </w:r>
            </w:hyperlink>
            <w:r>
              <w:t xml:space="preserve"> is positive or 0.  [</w:t>
            </w:r>
            <w:r>
              <w:t>Example</w:t>
            </w:r>
            <w:r>
              <w:t xml:space="preserve">: </w:t>
            </w:r>
            <w:r>
              <w:t>=80-90 \# -##</w:t>
            </w:r>
            <w:r>
              <w:t xml:space="preserve"> displays "</w:t>
            </w:r>
            <w:r>
              <w:t>-10</w:t>
            </w:r>
            <w:r>
              <w:t xml:space="preserve">", while </w:t>
            </w:r>
            <w:r>
              <w:t>=90-80 \# -##</w:t>
            </w:r>
            <w:r>
              <w:t xml:space="preserve"> displays " </w:t>
            </w:r>
            <w:r>
              <w:t>80</w:t>
            </w:r>
            <w:r>
              <w:t xml:space="preserve">". </w:t>
            </w:r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dxa" w:w="1965"/>
          </w:tcPr>
          <w:p w:rsidRDefault="00476CD1" w:rsidP="002E5918" w:rsidR="00476CD1">
            <w:pPr>
              <w:rPr>
                <w:rStyle w:val="Codefragment"/>
              </w:rPr>
            </w:pPr>
            <w:r>
              <w:t>+</w:t>
            </w:r>
          </w:p>
        </w:tc>
        <w:tc>
          <w:tcPr>
            <w:tcW w:type="dxa" w:w="7500"/>
          </w:tcPr>
          <w:p w:rsidRDefault="00476CD1" w:rsidP="002E5918" w:rsidR="00476CD1">
            <w:r>
              <w:t xml:space="preserve">Prepends a plus sign to a positive </w:t>
            </w:r>
            <w:hyperlink r:id="rId9">
              <w:r>
                <w:rPr>
                  <w:rStyle w:val="Hyperlink"/>
                </w:rPr>
                <w:t>result</w:t>
              </w:r>
            </w:hyperlink>
            <w:r>
              <w:t xml:space="preserve">, a minus sign to a negative </w:t>
            </w:r>
            <w:hyperlink r:id="rId9">
              <w:r>
                <w:rPr>
                  <w:rStyle w:val="Hyperlink"/>
                </w:rPr>
                <w:t>result</w:t>
              </w:r>
            </w:hyperlink>
            <w:r>
              <w:t xml:space="preserve">, or a space if the </w:t>
            </w:r>
            <w:hyperlink r:id="rId9">
              <w:r>
                <w:rPr>
                  <w:rStyle w:val="Hyperlink"/>
                </w:rPr>
                <w:t>result</w:t>
              </w:r>
            </w:hyperlink>
            <w:r>
              <w:t xml:space="preserve"> is 0. [</w:t>
            </w:r>
            <w:r>
              <w:t>Example</w:t>
            </w:r>
            <w:r>
              <w:t xml:space="preserve">: </w:t>
            </w:r>
            <w:r>
              <w:t>=90-80 \# +##</w:t>
            </w:r>
            <w:r>
              <w:t xml:space="preserve"> displays "</w:t>
            </w:r>
            <w:r>
              <w:t>+10</w:t>
            </w:r>
            <w:r>
              <w:t xml:space="preserve">", and </w:t>
            </w:r>
            <w:r>
              <w:t>=80-90 \# +##</w:t>
            </w:r>
            <w:r>
              <w:t xml:space="preserve"> displays "</w:t>
            </w:r>
            <w:r>
              <w:t>-10</w:t>
            </w:r>
            <w:r>
              <w:t xml:space="preserve">". </w:t>
            </w:r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dxa" w:w="1965"/>
          </w:tcPr>
          <w:p w:rsidRDefault="00476CD1" w:rsidP="002E5918" w:rsidR="00476CD1">
            <w:pPr>
              <w:rPr>
                <w:rStyle w:val="Codefragment"/>
              </w:rPr>
            </w:pPr>
            <w:r>
              <w:t>Other character</w:t>
            </w:r>
          </w:p>
        </w:tc>
        <w:tc>
          <w:tcPr>
            <w:tcW w:type="dxa" w:w="7500"/>
          </w:tcPr>
          <w:p w:rsidRDefault="00476CD1" w:rsidP="002E5918" w:rsidR="00476CD1">
            <w:r>
              <w:t xml:space="preserve">Includes the specified character in the </w:t>
            </w:r>
            <w:hyperlink r:id="rId9">
              <w:r>
                <w:rPr>
                  <w:rStyle w:val="Hyperlink"/>
                </w:rPr>
                <w:t>result</w:t>
              </w:r>
            </w:hyperlink>
            <w:r>
              <w:t xml:space="preserve"> at that position. [</w:t>
            </w:r>
            <w:r>
              <w:t>Example</w:t>
            </w:r>
            <w:r>
              <w:t xml:space="preserve">: </w:t>
            </w:r>
            <w:r>
              <w:t>=33 \# ##%</w:t>
            </w:r>
            <w:r>
              <w:t xml:space="preserve"> displays "</w:t>
            </w:r>
            <w:r>
              <w:t>33%</w:t>
            </w:r>
            <w:r>
              <w:t xml:space="preserve">". </w:t>
            </w:r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dxa" w:w="1965"/>
          </w:tcPr>
          <w:p w:rsidRDefault="00476CD1" w:rsidP="002E5918" w:rsidR="00476CD1">
            <w:pPr>
              <w:rPr>
                <w:rStyle w:val="Codefragment"/>
              </w:rPr>
            </w:pPr>
            <w:r>
              <w:t>'</w:t>
            </w:r>
            <w:r>
              <w:t/>
            </w:r>
            <w:hyperlink r:id="rId14">
              <w:r>
                <w:rPr>
                  <w:rStyle w:val="Hyperlink"/>
                </w:rPr>
                <w:t>text</w:t>
              </w:r>
            </w:hyperlink>
            <w:r>
              <w:t/>
            </w:r>
            <w:r>
              <w:t>'</w:t>
            </w:r>
          </w:p>
        </w:tc>
        <w:tc>
          <w:tcPr>
            <w:tcW w:type="dxa" w:w="7500"/>
          </w:tcPr>
          <w:p w:rsidRDefault="00476CD1" w:rsidP="002E5918" w:rsidR="00476CD1">
            <w:r>
              <w:t>Includes text in the result. [</w:t>
            </w:r>
            <w:r>
              <w:t>Example</w:t>
            </w:r>
            <w:r>
              <w:t xml:space="preserve">: In a US-English context,  if </w:t>
            </w:r>
            <w:smartTag w:element="Sn" w:uri="urn:schemas:contacts">
              <w:r>
                <w:t>Price</w:t>
              </w:r>
            </w:smartTag>
            <w:r>
              <w:t xml:space="preserve"> is a bookmark for 26.5, </w:t>
            </w:r>
            <w:r>
              <w:t>=</w:t>
            </w:r>
            <w:smartTag w:element="Sn" w:uri="urn:schemas:contacts">
              <w:r>
                <w:rPr>
                  <w:rStyle w:val="Codefragment"/>
                </w:rPr>
                <w:t>Price</w:t>
              </w:r>
            </w:smartTag>
            <w:r>
              <w:t>*15% \# "##0.00 'is the sales tax'"</w:t>
            </w:r>
            <w:r>
              <w:t xml:space="preserve"> displays "</w:t>
            </w:r>
            <w:r>
              <w:t>$  3.98 is the sales tax</w:t>
            </w:r>
            <w:r>
              <w:t xml:space="preserve">". </w:t>
            </w:r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dxa" w:w="1965"/>
          </w:tcPr>
          <w:p w:rsidRDefault="00476CD1" w:rsidP="002E5918" w:rsidR="00476CD1">
            <w:r>
              <w:t>`</w:t>
            </w:r>
            <w:r>
              <w:t>numbered-item</w:t>
            </w:r>
            <w:r>
              <w:t>`</w:t>
            </w:r>
          </w:p>
          <w:p w:rsidRDefault="00476CD1" w:rsidP="002E5918" w:rsidR="00476CD1">
            <w:pPr>
              <w:rPr>
                <w:rStyle w:val="Codefragment"/>
              </w:rPr>
            </w:pPr>
          </w:p>
        </w:tc>
        <w:tc>
          <w:tcPr>
            <w:tcW w:type="dxa" w:w="7500"/>
          </w:tcPr>
          <w:p w:rsidRDefault="00476CD1" w:rsidP="002E5918" w:rsidR="00476CD1">
            <w:r>
              <w:t xml:space="preserve">Includes, in Arabic numerals, the number of the preceding item numbered as a </w:t>
            </w:r>
            <w:hyperlink r:id="rId15">
              <w:r>
                <w:rPr>
                  <w:rStyle w:val="Hyperlink"/>
                </w:rPr>
                <w:t>caption</w:t>
              </w:r>
            </w:hyperlink>
            <w:r>
              <w:t xml:space="preserve"> or resulting from a </w:t>
            </w:r>
            <w:r>
              <w:t/>
            </w:r>
            <w:hyperlink r:id="rId16">
              <w:r>
                <w:rPr>
                  <w:rStyle w:val="Hyperlink"/>
                </w:rPr>
                <w:t>SEQ</w:t>
              </w:r>
            </w:hyperlink>
            <w:r>
              <w:t/>
            </w:r>
            <w:r>
              <w:t xml:space="preserve"> field (§</w:t>
            </w:r>
            <w:fldSimple w:instr=" REF _Ref124060653 \r \h ">
              <w:r>
                <w:t>2.16.5.63</w:t>
              </w:r>
            </w:fldSimple>
            <w:r>
              <w:t xml:space="preserve">).  </w:t>
            </w:r>
            <w:r>
              <w:t>numbered-item</w:t>
            </w:r>
            <w:r>
              <w:t xml:space="preserve"> shall be the same name as </w:t>
            </w:r>
            <w:r>
              <w:t>identifier</w:t>
            </w:r>
            <w:r>
              <w:t xml:space="preserve"> in that </w:t>
            </w:r>
            <w:r>
              <w:t/>
            </w:r>
            <w:hyperlink r:id="rId16">
              <w:r>
                <w:rPr>
                  <w:rStyle w:val="Hyperlink"/>
                </w:rPr>
                <w:t>SEQ</w:t>
              </w:r>
            </w:hyperlink>
            <w:r>
              <w:t/>
            </w:r>
            <w:r>
              <w:t xml:space="preserve"> field. [</w:t>
            </w:r>
            <w:r>
              <w:t>Example</w:t>
            </w:r>
            <w:r>
              <w:t xml:space="preserve">: </w:t>
            </w:r>
            <w:r>
              <w:t>=SUM(A1:D4) \# "##0.00 'is the total of Table' `table`"</w:t>
            </w:r>
            <w:r>
              <w:t xml:space="preserve"> displays "</w:t>
            </w:r>
            <w:r>
              <w:t>456.34 is the total of Table 2</w:t>
            </w:r>
            <w:r>
              <w:t>".</w:t>
            </w:r>
            <w:r>
              <w:t xml:space="preserve"> end example</w:t>
            </w:r>
            <w:r>
              <w:t>]</w:t>
            </w:r>
          </w:p>
        </w:tc>
      </w:tr>
      <w:tr w:rsidTr="002E5918" w:rsidR="00476CD1">
        <w:tc>
          <w:tcPr>
            <w:tcW w:type="dxa" w:w="1965"/>
          </w:tcPr>
          <w:p w:rsidRDefault="00476CD1" w:rsidP="002E5918" w:rsidR="00476CD1">
            <w:pPr>
              <w:rPr>
                <w:rStyle w:val="Codefragment"/>
              </w:rPr>
            </w:pPr>
            <w:r>
              <w:t>positive-result</w:t>
            </w:r>
            <w:r>
              <w:t xml:space="preserve"> </w:t>
            </w:r>
            <w:r>
              <w:t>;</w:t>
            </w:r>
            <w:r>
              <w:t xml:space="preserve"> </w:t>
            </w:r>
            <w:r>
              <w:t>negative-result</w:t>
            </w:r>
          </w:p>
        </w:tc>
        <w:tc>
          <w:tcPr>
            <w:tcW w:type="dxa" w:w="7500"/>
          </w:tcPr>
          <w:p w:rsidRDefault="00476CD1" w:rsidP="002E5918" w:rsidR="00476CD1">
            <w:r>
              <w:t xml:space="preserve">Specifies different sets of </w:t>
            </w:r>
            <w:hyperlink r:id="rId10">
              <w:r>
                <w:rPr>
                  <w:rStyle w:val="Hyperlink"/>
                </w:rPr>
                <w:t>picture</w:t>
              </w:r>
            </w:hyperlink>
            <w:r>
              <w:t xml:space="preserve"> items for positive and negative results. A zero value uses the positive picture. [</w:t>
            </w:r>
            <w:r>
              <w:t>Example</w:t>
            </w:r>
            <w:r>
              <w:t xml:space="preserve">: </w:t>
            </w:r>
            <w:r>
              <w:t>=Sales95 \# $#,##0.00;-$#,##0.00</w:t>
            </w:r>
            <w:r>
              <w:t xml:space="preserve"> displays that bookmark's positive values using </w:t>
            </w:r>
            <w:r>
              <w:t>$#,##0.00</w:t>
            </w:r>
            <w:r>
              <w:t xml:space="preserve">, and it's negative values using </w:t>
            </w:r>
            <w:r>
              <w:t>-$#,##0.00</w:t>
            </w:r>
            <w:r>
              <w:t>.</w:t>
            </w:r>
            <w:r>
              <w:t xml:space="preserve"> end example</w:t>
            </w:r>
            <w:r>
              <w:t>]</w:t>
            </w:r>
          </w:p>
        </w:tc>
      </w:tr>
      <w:tr w:rsidTr="002E5918" w:rsidR="00476CD1">
        <w:tc>
          <w:tcPr>
            <w:tcW w:type="dxa" w:w="1965"/>
          </w:tcPr>
          <w:p w:rsidRDefault="00476CD1" w:rsidP="002E5918" w:rsidR="00476CD1">
            <w:pPr>
              <w:rPr>
                <w:rStyle w:val="Codefragment"/>
              </w:rPr>
            </w:pPr>
            <w:r>
              <w:t>positive-result</w:t>
            </w:r>
            <w:r>
              <w:t xml:space="preserve"> </w:t>
            </w:r>
            <w:r>
              <w:t>;</w:t>
            </w:r>
            <w:r>
              <w:t xml:space="preserve"> </w:t>
            </w:r>
            <w:r>
              <w:t>negative-result</w:t>
            </w:r>
            <w:r>
              <w:t xml:space="preserve"> </w:t>
            </w:r>
            <w:r>
              <w:t>;</w:t>
            </w:r>
            <w:r>
              <w:t xml:space="preserve"> zero-result</w:t>
            </w:r>
          </w:p>
        </w:tc>
        <w:tc>
          <w:tcPr>
            <w:tcW w:type="dxa" w:w="7500"/>
          </w:tcPr>
          <w:p w:rsidRDefault="00476CD1" w:rsidP="002E5918" w:rsidR="00476CD1">
            <w:r>
              <w:t xml:space="preserve">Specifies different sets of </w:t>
            </w:r>
            <w:hyperlink r:id="rId10">
              <w:r>
                <w:rPr>
                  <w:rStyle w:val="Hyperlink"/>
                </w:rPr>
                <w:t>picture</w:t>
              </w:r>
            </w:hyperlink>
            <w:r>
              <w:t xml:space="preserve"> items for positive, negative, and zero results. [</w:t>
            </w:r>
            <w:r>
              <w:t>Example</w:t>
            </w:r>
            <w:r>
              <w:t xml:space="preserve">: </w:t>
            </w:r>
            <w:r>
              <w:t>=Sales95 \# $#,##0.00;-$#,##0.00;$0</w:t>
            </w:r>
            <w:r>
              <w:t xml:space="preserve"> displays that bookmark's positive values using </w:t>
            </w:r>
            <w:r>
              <w:t>$#,##0.00</w:t>
            </w:r>
            <w:r>
              <w:t xml:space="preserve">, it's negative values using </w:t>
            </w:r>
            <w:r>
              <w:t>-$#,##0.00</w:t>
            </w:r>
            <w:r>
              <w:t>, and its zero values using </w:t>
            </w:r>
            <w:r>
              <w:t>$0</w:t>
            </w:r>
            <w:r>
              <w:t>.</w:t>
            </w:r>
            <w:r>
              <w:t xml:space="preserve"> end example</w:t>
            </w:r>
            <w:r>
              <w:t>]</w:t>
            </w:r>
          </w:p>
        </w:tc>
      </w:tr>
    </w:tbl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ormat.docx" TargetMode="External"/><Relationship Id="rId9" Type="http://schemas.openxmlformats.org/officeDocument/2006/relationships/hyperlink" Target="result.docx" TargetMode="External"/><Relationship Id="rId10" Type="http://schemas.openxmlformats.org/officeDocument/2006/relationships/hyperlink" Target="picture.docx" TargetMode="External"/><Relationship Id="rId11" Type="http://schemas.openxmlformats.org/officeDocument/2006/relationships/hyperlink" Target="position.docx" TargetMode="External"/><Relationship Id="rId12" Type="http://schemas.openxmlformats.org/officeDocument/2006/relationships/hyperlink" Target="placeholder.docx" TargetMode="External"/><Relationship Id="rId13" Type="http://schemas.openxmlformats.org/officeDocument/2006/relationships/hyperlink" Target="separator.docx" TargetMode="External"/><Relationship Id="rId14" Type="http://schemas.openxmlformats.org/officeDocument/2006/relationships/hyperlink" Target="text.docx" TargetMode="External"/><Relationship Id="rId15" Type="http://schemas.openxmlformats.org/officeDocument/2006/relationships/hyperlink" Target="caption.docx" TargetMode="External"/><Relationship Id="rId16" Type="http://schemas.openxmlformats.org/officeDocument/2006/relationships/hyperlink" Target="SEQ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