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6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7_1" w:id="100001"/>
      <w:bookmarkStart w:name="book7210e17d-2749-4adc-b082-2a0dec5f4e0c_1" w:id="100002"/>
      <w:r>
        <w:t>marBottom</w:t>
      </w:r>
      <w:r>
        <w:t xml:space="preserve"> (Bottom Margin for HTML div)</w:t>
      </w:r>
      <w:bookmarkEnd w:id="100001"/>
    </w:p>
    <w:bookmarkEnd w:id="100002"/>
    <w:p w:rsidRDefault="00476CD1" w:rsidP="00476CD1" w:rsidR="00476CD1">
      <w:r>
        <w:t xml:space="preserve">This element specifies the margin which shall be displayed at the bottom of the boundaries of the current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object.</w:t>
      </w:r>
    </w:p>
    <w:p w:rsidRDefault="00476CD1" w:rsidP="00476CD1" w:rsidR="00476CD1">
      <w:r>
        <w:t xml:space="preserve">If this element is omitted, then this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</w:t>
      </w:r>
      <w:hyperlink r:id="rId10">
        <w:r>
          <w:rPr>
            <w:rStyle w:val="Hyperlink"/>
          </w:rPr>
          <w:t>object</w:t>
        </w:r>
      </w:hyperlink>
      <w:r>
        <w:t xml:space="preserve"> shall not have a bottom margin.</w:t>
      </w:r>
    </w:p>
    <w:p w:rsidRDefault="00476CD1" w:rsidP="00476CD1" w:rsidR="00476CD1">
      <w:r>
        <w:t>[</w:t>
      </w:r>
      <w:r>
        <w:t>Example</w:t>
      </w:r>
      <w:r>
        <w:t>: Consider a simple HTML document defined as follows:</w:t>
      </w:r>
    </w:p>
    <w:p w:rsidRDefault="00476CD1" w:rsidP="00476CD1" w:rsidR="00476CD1">
      <w:pPr>
        <w:pStyle w:val="c"/>
      </w:pPr>
      <w:r>
        <w:t>&lt;html&gt;</w:t>
      </w:r>
      <w:r>
        <w:br/>
      </w:r>
      <w:r>
        <w:t xml:space="preserve">  &lt;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  &lt;</w:t>
      </w:r>
      <w:hyperlink r:id="rId9">
        <w:r>
          <w:rPr>
            <w:rStyle w:val="Hyperlink"/>
          </w:rPr>
          <w:t>div</w:t>
        </w:r>
      </w:hyperlink>
      <w:r>
        <w:t xml:space="preserve"> style="margin-top:100px; margin-left:200px; margin-right:50px; margin-bottom:100px"&gt;</w:t>
      </w:r>
    </w:p>
    <w:p w:rsidRDefault="00476CD1" w:rsidP="00476CD1" w:rsidR="00476CD1">
      <w:pPr>
        <w:pStyle w:val="c"/>
      </w:pPr>
      <w:r>
        <w:t xml:space="preserve">      &lt;</w:t>
      </w:r>
      <w:hyperlink r:id="rId12">
        <w:r>
          <w:rPr>
            <w:rStyle w:val="Hyperlink"/>
          </w:rPr>
          <w:t>p</w:t>
        </w:r>
      </w:hyperlink>
      <w:r>
        <w:t>&gt;paragraph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&lt;/</w:t>
      </w:r>
      <w:hyperlink r:id="rId9">
        <w:r>
          <w:rPr>
            <w:rStyle w:val="Hyperlink"/>
          </w:rPr>
          <w:t>div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</w:t>
      </w:r>
      <w:hyperlink r:id="rId12">
        <w:r>
          <w:rPr>
            <w:rStyle w:val="Hyperlink"/>
          </w:rPr>
          <w:t>p</w:t>
        </w:r>
      </w:hyperlink>
      <w:r>
        <w:t>&gt;another paragraph of text&lt;/</w:t>
      </w:r>
      <w:hyperlink r:id="rId12">
        <w:r>
          <w:rPr>
            <w:rStyle w:val="Hyperlink"/>
          </w:rPr>
          <w:t>p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&lt;/</w:t>
      </w:r>
      <w:hyperlink r:id="rId11">
        <w:r>
          <w:rPr>
            <w:rStyle w:val="Hyperlink"/>
          </w:rPr>
          <w:t>body</w:t>
        </w:r>
      </w:hyperlink>
      <w:r>
        <w:t>&gt;</w:t>
      </w:r>
      <w:r>
        <w:br/>
      </w:r>
      <w:r>
        <w:t>&lt;/html&gt;</w:t>
      </w:r>
    </w:p>
    <w:p w:rsidRDefault="00476CD1" w:rsidP="00476CD1" w:rsidR="00476CD1">
      <w:r>
        <w:t>This HTML would therefore normally appear as follows (image scaled appropriately):</w:t>
      </w:r>
    </w:p>
    <w:p w:rsidRDefault="00476CD1" w:rsidP="00476CD1" w:rsidR="00476CD1">
      <w:r>
        <w:drawing>
          <wp:inline distR="0" distL="0" distB="0" distT="0">
            <wp:extent cy="2451100" cx="5750560"/>
            <wp:effectExtent b="13208" r="13208" t="12192" l="12192"/>
            <wp:docPr name="Picture 24" id="10415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24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451100" cx="5750560"/>
                    </a:xfrm>
                    <a:prstGeom prst="rect">
                      <a:avLst/>
                    </a:prstGeom>
                    <a:noFill/>
                    <a:ln algn="ctr" cmpd="sng" cap="flat" w="12700">
                      <a:solidFill>
                        <a:schemeClr val="tx1"/>
                      </a:solidFill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Now, when this document is saved in the WordprocessingML </w:t>
      </w:r>
      <w:hyperlink r:id="rId13">
        <w:r>
          <w:rPr>
            <w:rStyle w:val="Hyperlink"/>
          </w:rPr>
          <w:t>format</w:t>
        </w:r>
      </w:hyperlink>
      <w:r>
        <w:t xml:space="preserve">, the information stored on the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elements is stored in the web setting part as follows: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divs</w:t>
        </w:r>
      </w:hyperlink>
      <w:r>
        <w:t>&gt;</w:t>
      </w:r>
      <w:r>
        <w:br/>
      </w:r>
      <w:r>
        <w:t xml:space="preserve">  &lt;w:</w:t>
      </w:r>
      <w:hyperlink r:id="rId9">
        <w:r>
          <w:rPr>
            <w:rStyle w:val="Hyperlink"/>
          </w:rPr>
          <w:t>div</w:t>
        </w:r>
      </w:hyperlink>
      <w:r>
        <w:t xml:space="preserve"> w:</w:t>
      </w:r>
      <w:hyperlink r:id="rId15">
        <w:r>
          <w:rPr>
            <w:rStyle w:val="Hyperlink"/>
          </w:rPr>
          <w:t>id</w:t>
        </w:r>
      </w:hyperlink>
      <w:r>
        <w:t>="1785730240"&gt;</w:t>
      </w:r>
      <w:r>
        <w:br/>
      </w:r>
      <w:r>
        <w:t xml:space="preserve">    &lt;w:</w:t>
      </w:r>
      <w:hyperlink r:id="rId16">
        <w:r>
          <w:rPr>
            <w:rStyle w:val="Hyperlink"/>
          </w:rPr>
          <w:t>marLeft</w:t>
        </w:r>
      </w:hyperlink>
      <w:r>
        <w:t xml:space="preserve"> w:val="3000" /&gt;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marRight</w:t>
        </w:r>
      </w:hyperlink>
      <w:r>
        <w:t xml:space="preserve"> w:val="750" /&gt;</w:t>
      </w:r>
      <w:r>
        <w:br/>
      </w:r>
      <w:r>
        <w:t xml:space="preserve">    &lt;w:</w:t>
      </w:r>
      <w:hyperlink r:id="rId18">
        <w:r>
          <w:rPr>
            <w:rStyle w:val="Hyperlink"/>
          </w:rPr>
          <w:t>marTop</w:t>
        </w:r>
      </w:hyperlink>
      <w:r>
        <w:t xml:space="preserve"> w:val="1500" /&gt;</w:t>
      </w:r>
      <w:r>
        <w:br/>
      </w:r>
      <w:r>
        <w:t xml:space="preserve">    &lt;w:marBottom w:val="1500" /&gt;</w:t>
      </w:r>
      <w:r>
        <w:br/>
      </w:r>
      <w:r>
        <w:t xml:space="preserve">  &lt;/w:</w:t>
      </w:r>
      <w:hyperlink r:id="rId9">
        <w:r>
          <w:rPr>
            <w:rStyle w:val="Hyperlink"/>
          </w:rPr>
          <w:t>div</w:t>
        </w:r>
      </w:hyperlink>
      <w:r>
        <w:t>&gt;</w:t>
      </w:r>
      <w:r>
        <w:br/>
      </w:r>
      <w:r>
        <w:t>&lt;/w:</w:t>
      </w:r>
      <w:hyperlink r:id="rId14">
        <w:r>
          <w:rPr>
            <w:rStyle w:val="Hyperlink"/>
          </w:rPr>
          <w:t>divs</w:t>
        </w:r>
      </w:hyperlink>
      <w:r>
        <w:t>&gt;</w:t>
      </w:r>
    </w:p>
    <w:p w:rsidRDefault="00476CD1" w:rsidP="00476CD1" w:rsidR="00476CD1">
      <w:r>
        <w:t xml:space="preserve">The </w:t>
      </w:r>
      <w:r>
        <w:t>marBottom</w:t>
      </w:r>
      <w:r>
        <w:t xml:space="preserve"> element specifies margin information about the bottom margin for the single HTML </w:t>
      </w:r>
      <w:r>
        <w:t/>
      </w:r>
      <w:hyperlink r:id="rId9">
        <w:r>
          <w:rPr>
            <w:rStyle w:val="Hyperlink"/>
          </w:rPr>
          <w:t>div</w:t>
        </w:r>
      </w:hyperlink>
      <w:r>
        <w:t/>
      </w:r>
      <w:r>
        <w:t xml:space="preserve"> structure in the document; in this case, a 75 point bottom margin. The initial 100 pixel margin was converted to 75 points using the following logic:</w:t>
      </w:r>
    </w:p>
    <w:p w:rsidRDefault="00476CD1" w:rsidP="00476CD1" w:rsidR="00476CD1">
      <m:oMathPara>
        <m:oMathParaPr>
          <m:jc m:val="centerGroup"/>
        </m:oMathParaPr>
        <m:oMath>
          <m:r>
            <m:rPr>
              <m:sty m:val="p"/>
            </m:rPr>
            <w:rPr>
              <w:rFonts w:hAnsi="Cambria Math" w:ascii="Cambria Math"/>
            </w:rPr>
            <m:t>100px*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96 px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*</m:t>
          </m:r>
          <m:f>
            <m:fPr>
              <m:ctrlPr>
                <w:rPr>
                  <w:rFonts w:hAnsi="Cambria Math" w:ascii="Cambria Math"/>
                </w:rPr>
              </m:ctrlPr>
            </m:fPr>
            <m:num>
              <m:r>
                <m:rPr>
                  <m:sty m:val="p"/>
                </m:rPr>
                <w:rPr>
                  <w:rFonts w:hAnsi="Cambria Math" w:ascii="Cambria Math"/>
                </w:rPr>
                <m:t>1440 twentieth points</m:t>
              </m:r>
            </m:num>
            <m:den>
              <m:r>
                <m:rPr>
                  <m:sty m:val="p"/>
                </m:rPr>
                <w:rPr>
                  <w:rFonts w:hAnsi="Cambria Math" w:ascii="Cambria Math"/>
                </w:rPr>
                <m:t>1 inch</m:t>
              </m:r>
            </m:den>
          </m:f>
          <m:r>
            <m:rPr>
              <m:sty m:val="p"/>
            </m:rPr>
            <w:rPr>
              <w:rFonts w:hAnsi="Cambria Math" w:ascii="Cambria Math"/>
            </w:rPr>
            <m:t>=1500 twentieth points (75 points)</m:t>
          </m:r>
        </m:oMath>
      </m:oMathPara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div</w:t>
              </w:r>
            </w:hyperlink>
            <w:r>
              <w:t/>
            </w:r>
            <w:r>
              <w:t xml:space="preserve"> (§</w:t>
            </w:r>
            <w:fldSimple w:instr="REF booka340b82b-1ead-463c-89d4-da686c1c20bf \r \h">
              <w:r>
                <w:t>2.15.2.6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(Positive or Negative Value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value whose contents shall contain a positive whole number, whose contents consist of a positive or negative measurement in twentieths of a point (equivalent to 1/1440th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measurement shall be interpreted based on the context of the parent </w:t>
            </w:r>
            <w:hyperlink r:id="rId19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attribute value of -</w:t>
            </w:r>
            <w:r>
              <w:t>720</w:t>
            </w:r>
            <w:r>
              <w:t xml:space="preserve"> whose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is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>. This attribute value specifies a value of negative one-half of an inch or -36 points (-</w:t>
            </w:r>
            <w:r>
              <w:t>720</w:t>
            </w:r>
            <w:r>
              <w:t xml:space="preserve"> twentieths of a point = -36 points = </w:t>
            </w:r>
            <w:smartTag w:element="metricconverter" w:uri="urn:schemas-microsoft-com:office:smarttags">
              <w:smartTagPr>
                <w:attr w:val="-0.5 inches" w:name="ProductID"/>
              </w:smartTagPr>
              <w:r>
                <w:t>-</w:t>
              </w:r>
              <w:smartTag w:element="metricconverter" w:uri="urn:schemas-microsoft-com:office:smarttags">
                <w:smartTagPr>
                  <w:attr w:val="0.5 inches" w:name="ProductID"/>
                </w:smartTagPr>
                <w:r>
                  <w:t>0.5 inches</w:t>
                </w:r>
              </w:smartTag>
            </w:smartTag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2">
        <w:r>
          <w:rPr>
            <w:rStyle w:val="Hyperlink"/>
          </w:rPr>
          <w:t>name</w:t>
        </w:r>
      </w:hyperlink>
      <w:r>
        <w:t>="CT_SignedTwipsMeasure"&gt;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2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ST_SignedTwipsMeasure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6.png"></Relationship><Relationship Id="rId9" Type="http://schemas.openxmlformats.org/officeDocument/2006/relationships/hyperlink" Target="div.docx" TargetMode="External"/><Relationship Id="rId10" Type="http://schemas.openxmlformats.org/officeDocument/2006/relationships/hyperlink" Target="object.docx" TargetMode="External"/><Relationship Id="rId11" Type="http://schemas.openxmlformats.org/officeDocument/2006/relationships/hyperlink" Target="body.docx" TargetMode="External"/><Relationship Id="rId12" Type="http://schemas.openxmlformats.org/officeDocument/2006/relationships/hyperlink" Target="p.docx" TargetMode="External"/><Relationship Id="rId13" Type="http://schemas.openxmlformats.org/officeDocument/2006/relationships/hyperlink" Target="format.docx" TargetMode="External"/><Relationship Id="rId14" Type="http://schemas.openxmlformats.org/officeDocument/2006/relationships/hyperlink" Target="divs.docx" TargetMode="External"/><Relationship Id="rId15" Type="http://schemas.openxmlformats.org/officeDocument/2006/relationships/hyperlink" Target="id.docx" TargetMode="External"/><Relationship Id="rId16" Type="http://schemas.openxmlformats.org/officeDocument/2006/relationships/hyperlink" Target="marLeft.docx" TargetMode="External"/><Relationship Id="rId17" Type="http://schemas.openxmlformats.org/officeDocument/2006/relationships/hyperlink" Target="marRight.docx" TargetMode="External"/><Relationship Id="rId18" Type="http://schemas.openxmlformats.org/officeDocument/2006/relationships/hyperlink" Target="marTop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ST_SignedTwipsMeasure.docx" TargetMode="External"/><Relationship Id="rId2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