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8_1" w:id="100001"/>
      <w:bookmarkStart w:name="book7af4f914-f918-40bc-affb-2b4ee7031bd7_1" w:id="100002"/>
      <w:r>
        <w:t>marH</w:t>
      </w:r>
      <w:r>
        <w:t xml:space="preserve"> (Top and Bottom Margin for Frame)</w:t>
      </w:r>
      <w:bookmarkEnd w:id="100001"/>
    </w:p>
    <w:bookmarkEnd w:id="100002"/>
    <w:p w:rsidRDefault="00476CD1" w:rsidP="00476CD1" w:rsidR="00476CD1">
      <w:r>
        <w:t xml:space="preserve">This element specifies the top and bottom margin height for a single </w:t>
      </w:r>
      <w:hyperlink r:id="rId9">
        <w:r>
          <w:rPr>
            <w:rStyle w:val="Hyperlink"/>
          </w:rPr>
          <w:t>frame</w:t>
        </w:r>
      </w:hyperlink>
      <w:r>
        <w:t xml:space="preserve"> in a </w:t>
      </w:r>
      <w:hyperlink r:id="rId10">
        <w:r>
          <w:rPr>
            <w:rStyle w:val="Hyperlink"/>
          </w:rPr>
          <w:t>frameset</w:t>
        </w:r>
      </w:hyperlink>
      <w:r>
        <w:t xml:space="preserve"> document, as follows:</w:t>
      </w:r>
    </w:p>
    <w:p w:rsidRDefault="00476CD1" w:rsidP="00476CD1" w:rsidR="00476CD1">
      <w:r>
        <w:drawing>
          <wp:inline distR="0" distL="0" distB="0" distT="0">
            <wp:extent cy="3314700" cx="3429000"/>
            <wp:effectExtent b="0" r="0" t="0" l="0"/>
            <wp:docPr name="Picture 341" id="169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4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14700" cx="34290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height is expressed in pixels.</w:t>
      </w:r>
    </w:p>
    <w:p w:rsidRDefault="00476CD1" w:rsidP="00476CD1" w:rsidR="00476CD1">
      <w:r>
        <w:t>If this element is omitted, then no top or bottom margin shall be used for this frame.</w:t>
      </w:r>
    </w:p>
    <w:p w:rsidRDefault="00476CD1" w:rsidP="00476CD1" w:rsidR="00476CD1">
      <w:r>
        <w:t>[</w:t>
      </w:r>
      <w:r>
        <w:t>Example</w:t>
      </w:r>
      <w:r>
        <w:t xml:space="preserve">: Consider a document that has a </w:t>
      </w:r>
      <w:hyperlink r:id="rId9">
        <w:r>
          <w:rPr>
            <w:rStyle w:val="Hyperlink"/>
          </w:rPr>
          <w:t>frame</w:t>
        </w:r>
      </w:hyperlink>
      <w:r>
        <w:t>, where the margin height has been specified and is represented as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&lt;w:marH w:val="594"/&gt;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r>
        <w:t xml:space="preserve">The </w:t>
      </w:r>
      <w:r>
        <w:t>marH</w:t>
      </w:r>
      <w:r>
        <w:t xml:space="preserve"> element has a </w:t>
      </w:r>
      <w:r>
        <w:t>val</w:t>
      </w:r>
      <w:r>
        <w:t xml:space="preserve"> attribute value of </w:t>
      </w:r>
      <w:r>
        <w:t>594</w:t>
      </w:r>
      <w:r>
        <w:t xml:space="preserve">, which specifies that this </w:t>
      </w:r>
      <w:hyperlink r:id="rId9">
        <w:r>
          <w:rPr>
            <w:rStyle w:val="Hyperlink"/>
          </w:rPr>
          <w:t>frame</w:t>
        </w:r>
      </w:hyperlink>
      <w:r>
        <w:t xml:space="preserve"> has a top and bottom margin value of </w:t>
      </w:r>
      <w:r>
        <w:t>594</w:t>
      </w:r>
      <w:r>
        <w:t xml:space="preserve"> pixels, resulting in 594 pixels of space </w:t>
      </w:r>
      <w:hyperlink r:id="rId11">
        <w:r>
          <w:rPr>
            <w:rStyle w:val="Hyperlink"/>
          </w:rPr>
          <w:t>between</w:t>
        </w:r>
      </w:hyperlink>
      <w:r>
        <w:t xml:space="preserve"> the content and the top and bottom margins of the frame.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/>
            </w:r>
            <w:r>
              <w:t xml:space="preserve"> (§</w:t>
            </w:r>
            <w:fldSimple w:instr="REF book20e1baa4-31b7-4c12-9938-3058db96db82 \r \h">
              <w:r>
                <w:t>2.15.2.16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Pixels)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measurement in pixels.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attribute value of </w:t>
            </w:r>
            <w:r>
              <w:t>960</w:t>
            </w:r>
            <w:r>
              <w:t xml:space="preserve"> whose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14">
              <w:r>
                <w:rPr>
                  <w:rStyle w:val="Hyperlink"/>
                </w:rPr>
                <w:t>ST_PixelsMeasure</w:t>
              </w:r>
            </w:hyperlink>
            <w:r>
              <w:t/>
            </w:r>
            <w:r>
              <w:t xml:space="preserve">. This attribute value specifies a value of 960 pixels.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ST_PixelsMeasure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05e1db0-52b6-4e2f-b80f-8b6e2fdf3af1 \r \h">
              <w:r>
                <w:t>2.18.74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="CT_PixelsMeasure"&gt;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ST_PixelsMeasure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7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PixelsMeasur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