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63_1" w:id="100001"/>
      <w:bookmarkStart w:name="book236c4f58-da4c-4dec-9614-c1009c1a2024_1" w:id="100002"/>
      <w:r>
        <w:t>noProof</w:t>
      </w:r>
      <w:r>
        <w:t xml:space="preserve"> (Do Not Check Spelling or Grammar)</w:t>
      </w:r>
      <w:bookmarkEnd w:id="100001"/>
    </w:p>
    <w:bookmarkEnd w:id="100002"/>
    <w:p w:rsidRDefault="00476CD1" w:rsidP="00476CD1" w:rsidR="00476CD1">
      <w:r>
        <w:t>This element specifies that the contents of this run shall not report any errors when the document is scanned for spelling and grammar. [</w:t>
      </w:r>
      <w:r>
        <w:t>Note</w:t>
      </w:r>
      <w:r>
        <w:t xml:space="preserve">: It is entirely at the consumer's/producer's discretion whether this is done by not checking the region for spelling and grammar, or simply by suppressing the results. </w:t>
      </w:r>
      <w:r>
        <w:t>end note</w:t>
      </w:r>
      <w:r>
        <w:t>]</w:t>
      </w:r>
    </w:p>
    <w:p w:rsidRDefault="00476CD1" w:rsidP="00476CD1" w:rsidR="00476CD1">
      <w:r>
        <w:t xml:space="preserve">If this element is not present, the default value is to leave the formatting applied at previous level in the </w:t>
      </w:r>
      <w:r>
        <w:t>style hierarchy</w:t>
      </w:r>
      <w:r>
        <w:t>. If this element is never applied in the style hierarchy, then spelling and grammar error shall not be suppressed on the contents of this run.</w:t>
      </w:r>
    </w:p>
    <w:p w:rsidRDefault="00476CD1" w:rsidP="00476CD1" w:rsidR="00476CD1">
      <w:r>
        <w:t>[</w:t>
      </w:r>
      <w:r>
        <w:t>Example</w:t>
      </w:r>
      <w:r>
        <w:t xml:space="preserve">: Consider a run of text which shall not ever have spelling or grammar errors reported for the contents of the run, for example, the </w:t>
      </w:r>
      <w:hyperlink r:id="rId8">
        <w:r>
          <w:rPr>
            <w:rStyle w:val="Hyperlink"/>
          </w:rPr>
          <w:t>XML</w:t>
        </w:r>
      </w:hyperlink>
      <w:r>
        <w:t xml:space="preserve"> fragments included in this Specification.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&lt;w:noProof w:val="true"/&gt;</w:t>
      </w:r>
      <w:r>
        <w:br/>
      </w:r>
      <w:r>
        <w:t>&lt;/w:</w:t>
      </w:r>
      <w:hyperlink r:id="rId9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>noProof</w:t>
      </w:r>
      <w:r>
        <w:t xml:space="preserve"> property is </w:t>
      </w:r>
      <w:r>
        <w:t>true</w:t>
      </w:r>
      <w:r>
        <w:t xml:space="preserve">, so the contents of this run will never report spelling or grammar errors.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0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1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2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2">
        <w:r>
          <w:rPr>
            <w:rStyle w:val="Hyperlink"/>
          </w:rPr>
          <w:t>name</w:t>
        </w:r>
      </w:hyperlink>
      <w:r>
        <w:t xml:space="preserve">="val" </w:t>
      </w:r>
      <w:hyperlink r:id="rId11">
        <w:r>
          <w:rPr>
            <w:rStyle w:val="Hyperlink"/>
          </w:rPr>
          <w:t>type</w:t>
        </w:r>
      </w:hyperlink>
      <w:r>
        <w:t>="</w:t>
      </w:r>
      <w:hyperlink r:id="rId10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rPr.docx" TargetMode="External"/><Relationship Id="rId10" Type="http://schemas.openxmlformats.org/officeDocument/2006/relationships/hyperlink" Target="ST_OnOff.docx" TargetMode="External"/><Relationship Id="rId11" Type="http://schemas.openxmlformats.org/officeDocument/2006/relationships/hyperlink" Target="type.docx" TargetMode="External"/><Relationship Id="rId1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