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49_1" w:id="100001"/>
      <w:bookmarkStart w:name="book58ac4689-52f4-4557-8254-97fa28d805ed_1" w:id="100002"/>
      <w:r>
        <w:t>noWrap</w:t>
      </w:r>
      <w:r>
        <w:t xml:space="preserve"> (Don't Wrap Cell Content)</w:t>
      </w:r>
      <w:bookmarkEnd w:id="100001"/>
    </w:p>
    <w:bookmarkEnd w:id="100002"/>
    <w:p w:rsidRDefault="00476CD1" w:rsidP="00476CD1" w:rsidR="00476CD1">
      <w:r>
        <w:t xml:space="preserve">This element specifies how this </w:t>
      </w:r>
      <w:hyperlink r:id="rId8">
        <w:r>
          <w:rPr>
            <w:rStyle w:val="Hyperlink"/>
          </w:rPr>
          <w:t>table</w:t>
        </w:r>
      </w:hyperlink>
      <w:r>
        <w:t xml:space="preserve"> cell shall be laid out when the parent </w:t>
      </w:r>
      <w:hyperlink r:id="rId8">
        <w:r>
          <w:rPr>
            <w:rStyle w:val="Hyperlink"/>
          </w:rPr>
          <w:t>table</w:t>
        </w:r>
      </w:hyperlink>
      <w:r>
        <w:t xml:space="preserve"> is displayed in a document. This setting only affects the </w:t>
      </w:r>
      <w:hyperlink r:id="rId9">
        <w:r>
          <w:rPr>
            <w:rStyle w:val="Hyperlink"/>
          </w:rPr>
          <w:t>behavior</w:t>
        </w:r>
      </w:hyperlink>
      <w:r>
        <w:t xml:space="preserve"> of the cell when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for this row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is set to use the </w:t>
      </w:r>
      <w:r>
        <w:t>auto</w:t>
      </w:r>
      <w:r>
        <w:t xml:space="preserve"> algorithm.</w:t>
      </w:r>
    </w:p>
    <w:p w:rsidRDefault="00476CD1" w:rsidP="00476CD1" w:rsidR="00476CD1">
      <w:r>
        <w:t xml:space="preserve">This setting shall be interpreted in the context of the </w:t>
      </w:r>
      <w:r>
        <w:t/>
      </w:r>
      <w:hyperlink r:id="rId11">
        <w:r>
          <w:rPr>
            <w:rStyle w:val="Hyperlink"/>
          </w:rPr>
          <w:t>tcW</w:t>
        </w:r>
      </w:hyperlink>
      <w:r>
        <w:t/>
      </w:r>
      <w:r>
        <w:t xml:space="preserve"> element (§</w:t>
      </w:r>
      <w:fldSimple w:instr="REF bookd6b22c0f-db0d-491e-a573-b915472deffb \r \h">
        <w:r>
          <w:t>2.4.68</w:t>
        </w:r>
      </w:fldSimple>
      <w:r>
        <w:t>) as follows:</w:t>
      </w:r>
    </w:p>
    <w:p w:rsidRDefault="00476CD1" w:rsidP="00476CD1" w:rsidR="00476CD1">
      <w:pPr>
        <w:pStyle w:val="ListBullet"/>
        <w:numPr>
          <w:ilvl w:val="0"/>
          <w:numId w:val="48"/>
        </w:numPr>
      </w:pPr>
      <w:r>
        <w:t xml:space="preserve">If the </w:t>
      </w:r>
      <w:hyperlink r:id="rId8">
        <w:r>
          <w:rPr>
            <w:rStyle w:val="Hyperlink"/>
          </w:rPr>
          <w:t>table</w:t>
        </w:r>
      </w:hyperlink>
      <w:r>
        <w:t xml:space="preserve"> cell width has a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fixed</w:t>
      </w:r>
      <w:r>
        <w:t xml:space="preserve">, then this element specifies that that this </w:t>
      </w:r>
      <w:hyperlink r:id="rId8">
        <w:r>
          <w:rPr>
            <w:rStyle w:val="Hyperlink"/>
          </w:rPr>
          <w:t>table</w:t>
        </w:r>
      </w:hyperlink>
      <w:r>
        <w:t xml:space="preserve"> cell shall never be smaller than that fixed value when other cells on the line are not at their absolute minimum width.</w:t>
      </w:r>
    </w:p>
    <w:p w:rsidRDefault="00476CD1" w:rsidP="00476CD1" w:rsidR="00476CD1">
      <w:pPr>
        <w:pStyle w:val="ListBullet"/>
      </w:pPr>
      <w:r>
        <w:t xml:space="preserve">If the </w:t>
      </w:r>
      <w:hyperlink r:id="rId8">
        <w:r>
          <w:rPr>
            <w:rStyle w:val="Hyperlink"/>
          </w:rPr>
          <w:t>table</w:t>
        </w:r>
      </w:hyperlink>
      <w:r>
        <w:t xml:space="preserve"> cell width has a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 value of </w:t>
      </w:r>
      <w:r>
        <w:t>pct</w:t>
      </w:r>
      <w:r>
        <w:t xml:space="preserve"> or </w:t>
      </w:r>
      <w:r>
        <w:t>auto</w:t>
      </w:r>
      <w:r>
        <w:t xml:space="preserve">, then this element specifies that when running the auto fit algorithm, the contents of that this </w:t>
      </w:r>
      <w:hyperlink r:id="rId8">
        <w:r>
          <w:rPr>
            <w:rStyle w:val="Hyperlink"/>
          </w:rPr>
          <w:t>table</w:t>
        </w:r>
      </w:hyperlink>
      <w:r>
        <w:t xml:space="preserve"> cell shall be treated as though they have no breaking characters (the contents should be treated as a single contiguous non-breaking string)</w:t>
      </w:r>
    </w:p>
    <w:p w:rsidRDefault="00476CD1" w:rsidP="00476CD1" w:rsidR="00476CD1">
      <w:r>
        <w:t>If this element is omitted, then cell content shall be allowed to wrap (the cell may be shrunk as needed if it is a fixed preferred width value, and the contents shall be treated as having breaking characters if it is a percentage or automatic width value).</w:t>
      </w:r>
    </w:p>
    <w:p w:rsidRDefault="00476CD1" w:rsidP="00476CD1" w:rsidR="00476CD1">
      <w:r>
        <w:t>[</w:t>
      </w:r>
      <w:r>
        <w:t>Example</w:t>
      </w:r>
      <w:r>
        <w:t>: Consider the following three row by three column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3428"/>
        <w:gridCol w:w="3428"/>
        <w:gridCol w:w="3429"/>
      </w:tblGrid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In this </w:t>
      </w:r>
      <w:hyperlink r:id="rId8">
        <w:r>
          <w:rPr>
            <w:rStyle w:val="Hyperlink"/>
          </w:rPr>
          <w:t>table</w:t>
        </w:r>
      </w:hyperlink>
      <w:r>
        <w:t xml:space="preserve">, each cell has a </w:t>
      </w:r>
      <w:r>
        <w:t>fixed</w:t>
      </w:r>
      <w:r>
        <w:t xml:space="preserve"> preferred width of </w:t>
      </w:r>
      <w:smartTag w:element="metricconverter" w:uri="urn:schemas-microsoft-com:office:smarttags">
        <w:smartTagPr>
          <w:attr w:val="2.38 inches" w:name="ProductID"/>
        </w:smartTagPr>
        <w:r>
          <w:t>2.38 inches</w:t>
        </w:r>
      </w:smartTag>
      <w:r>
        <w:t xml:space="preserve"> (</w:t>
      </w:r>
      <w:r>
        <w:t>3427</w:t>
      </w:r>
      <w:r>
        <w:t xml:space="preserve"> twentieths of a point), and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for this row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is set to use the </w:t>
      </w:r>
      <w:r>
        <w:t>auto</w:t>
      </w:r>
      <w:r>
        <w:t xml:space="preserve"> algorithm. If a long non breaking string is added to the middle row, as follows, the two cells are adjusted to override their preferences and accommodate the string: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2243"/>
        <w:gridCol w:w="5823"/>
        <w:gridCol w:w="2244"/>
      </w:tblGrid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>
            <w:r>
              <w:t>sssssssssssssssssssssssssssssssssssssssssssssssssssssssssssssssss</w:t>
            </w:r>
          </w:p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However, if the first </w:t>
      </w:r>
      <w:hyperlink r:id="rId8">
        <w:r>
          <w:rPr>
            <w:rStyle w:val="Hyperlink"/>
          </w:rPr>
          <w:t>table</w:t>
        </w:r>
      </w:hyperlink>
      <w:r>
        <w:t xml:space="preserve"> cell has the </w:t>
      </w:r>
      <w:r>
        <w:t>noWrap</w:t>
      </w:r>
      <w:r>
        <w:t xml:space="preserve"> element present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&lt;w:noWrap/&gt;</w:t>
      </w:r>
      <w:r>
        <w:br/>
      </w:r>
      <w:r>
        <w:t>&lt;/w:</w:t>
      </w:r>
      <w:hyperlink r:id="rId13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r>
        <w:t xml:space="preserve">The </w:t>
      </w:r>
      <w:r>
        <w:t>noWrap</w:t>
      </w:r>
      <w:r>
        <w:t xml:space="preserve"> element specifies that because it is a </w:t>
      </w:r>
      <w:r>
        <w:t>fixed</w:t>
      </w:r>
      <w:r>
        <w:t xml:space="preserve"> width cell, that cell shall not be collapsed beyond its original size until all other cells are at their minimum size, so in this example the cell maintains its width:</w:t>
      </w:r>
    </w:p>
    <w:tbl>
      <w:tblPr>
        <w:tblStyle w:val="TableGrid"/>
        <w:tblW w:type="pct" w:w="5000"/>
        <w:tblLook w:val="04A0" w:noVBand="1" w:noHBand="0" w:lastColumn="0" w:firstColumn="1" w:lastRow="0" w:firstRow="1"/>
      </w:tblPr>
      <w:tblGrid>
        <w:gridCol w:w="3428"/>
        <w:gridCol w:w="5823"/>
        <w:gridCol w:w="1059"/>
      </w:tblGrid>
      <w:tr w:rsidTr="002E5918" w:rsidR="00476CD1">
        <w:tc>
          <w:tcPr>
            <w:tcW w:type="dxa" w:w="3428"/>
            <w:noWrap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>
            <w:r>
              <w:t>sssssssssssssssssssssssssssssssssssssssssssssssssssssssssssssssss</w:t>
            </w:r>
          </w:p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  <w:tr w:rsidTr="002E5918" w:rsidR="00476CD1">
        <w:tc>
          <w:tcPr>
            <w:tcW w:type="dxa" w:w="3428"/>
          </w:tcPr>
          <w:p w:rsidRDefault="00476CD1" w:rsidP="002E5918" w:rsidR="00476CD1"/>
        </w:tc>
        <w:tc>
          <w:tcPr>
            <w:tcW w:type="dxa" w:w="3428"/>
          </w:tcPr>
          <w:p w:rsidRDefault="00476CD1" w:rsidP="002E5918" w:rsidR="00476CD1"/>
        </w:tc>
        <w:tc>
          <w:tcPr>
            <w:tcW w:type="dxa" w:w="3429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tblLayout.docx" TargetMode="External"/><Relationship Id="rId11" Type="http://schemas.openxmlformats.org/officeDocument/2006/relationships/hyperlink" Target="tcW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cPr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