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50_1" w:id="100001"/>
      <w:bookmarkStart w:name="book842ed0f6-2a97-4bae-8af5-b86d79e8ab92_1" w:id="100002"/>
      <w:r>
        <w:t>sig</w:t>
      </w:r>
      <w:r>
        <w:t xml:space="preserve"> (Supported Unicode Subranges and Code Pages)</w:t>
      </w:r>
      <w:bookmarkEnd w:id="100001"/>
    </w:p>
    <w:bookmarkEnd w:id="100002"/>
    <w:p w:rsidRDefault="00476CD1" w:rsidP="00476CD1" w:rsidR="00476CD1">
      <w:r>
        <w:t>This element specifies information identifying the code pages and Unicode subranges for which the parent font provides glyphs. This information may be used as defined in font substitution logic to locate an appropriate substitute font when this font is not available. This information is determined by querying the font when present and shall not be modified when the font is not available.</w:t>
      </w:r>
    </w:p>
    <w:p w:rsidRDefault="00476CD1" w:rsidP="00476CD1" w:rsidR="00476CD1">
      <w:r>
        <w:t>When storing Unicode subrange information, the appropriate bit in the bitfield shall only be set  if the entire subrange is supported by that font.</w:t>
      </w:r>
    </w:p>
    <w:p w:rsidRDefault="00476CD1" w:rsidP="00476CD1" w:rsidR="00476CD1">
      <w:r>
        <w:t>If this element is omitted, then no supported code page/Unicode subrange information is available.</w:t>
      </w:r>
    </w:p>
    <w:p w:rsidRDefault="00476CD1" w:rsidP="00476CD1" w:rsidR="00476CD1">
      <w:r>
        <w:t>[</w:t>
      </w:r>
      <w:r>
        <w:t>Example</w:t>
      </w:r>
      <w:r>
        <w:t>: Consider the following information stored for a single font:</w:t>
      </w:r>
    </w:p>
    <w:p w:rsidRDefault="00476CD1" w:rsidP="00476CD1" w:rsidR="00476CD1">
      <w:pPr>
        <w:pStyle w:val="c"/>
      </w:pPr>
      <w:r>
        <w:t>&lt;w:font w:name="Times New Roman"&gt;</w:t>
      </w:r>
      <w:r>
        <w:br/>
      </w:r>
      <w:r>
        <w:t xml:space="preserve">  &lt;w:sig w:usb0="20002A87" w:usb1="80000000" w:usb2="00000008" w:usb3="00000000" w:csb0="000001FF" w:csb1="00000000" /&gt;</w:t>
      </w:r>
      <w:r>
        <w:br/>
      </w:r>
      <w:r>
        <w:t xml:space="preserve">  …</w:t>
      </w:r>
      <w:r>
        <w:br/>
      </w:r>
      <w:r>
        <w:t>&lt;/w:font&gt;</w:t>
      </w:r>
    </w:p>
    <w:p w:rsidRDefault="00476CD1" w:rsidP="00476CD1" w:rsidR="00476CD1">
      <w:r>
        <w:t xml:space="preserve">The </w:t>
      </w:r>
      <w:r>
        <w:t>sig</w:t>
      </w:r>
      <w:r>
        <w:t xml:space="preserve"> element specifies the supported code pages and Unicode sub ranges via its attributes. For example, the code pages supported are:</w:t>
      </w:r>
    </w:p>
    <w:p w:rsidRDefault="00476CD1" w:rsidP="00476CD1" w:rsidR="00476CD1">
      <w:pPr>
        <w:pStyle w:val="ListBullet"/>
        <w:numPr>
          <w:ilvl w:val="0"/>
          <w:numId w:val="99"/>
        </w:numPr>
      </w:pPr>
      <w:r>
        <w:t>Latin 1</w:t>
      </w:r>
    </w:p>
    <w:p w:rsidRDefault="00476CD1" w:rsidP="00476CD1" w:rsidR="00476CD1">
      <w:pPr>
        <w:pStyle w:val="ListBullet"/>
      </w:pPr>
      <w:r>
        <w:t>Latin 2: Eastern Europe</w:t>
      </w:r>
    </w:p>
    <w:p w:rsidRDefault="00476CD1" w:rsidP="00476CD1" w:rsidR="00476CD1">
      <w:pPr>
        <w:pStyle w:val="ListBullet"/>
      </w:pPr>
      <w:r>
        <w:t>Cyrillic</w:t>
      </w:r>
    </w:p>
    <w:p w:rsidRDefault="00476CD1" w:rsidP="00476CD1" w:rsidR="00476CD1">
      <w:pPr>
        <w:pStyle w:val="ListBullet"/>
      </w:pPr>
      <w:r>
        <w:t>Greek</w:t>
      </w:r>
    </w:p>
    <w:p w:rsidRDefault="00476CD1" w:rsidP="00476CD1" w:rsidR="00476CD1">
      <w:pPr>
        <w:pStyle w:val="ListBullet"/>
      </w:pPr>
      <w:r>
        <w:t>Turkish</w:t>
      </w:r>
    </w:p>
    <w:p w:rsidRDefault="00476CD1" w:rsidP="00476CD1" w:rsidR="00476CD1">
      <w:pPr>
        <w:pStyle w:val="ListBullet"/>
      </w:pPr>
      <w:r>
        <w:t>Baltic</w:t>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csb0</w:t>
            </w:r>
            <w:r>
              <w:t xml:space="preserve"> (Lower 32 Bits of Code Page Bit Field)</w:t>
            </w:r>
          </w:p>
        </w:tc>
        <w:tc>
          <w:tcPr>
            <w:tcW w:type="pct" w:w="4000"/>
          </w:tcPr>
          <w:p w:rsidRDefault="00476CD1" w:rsidP="002E5918" w:rsidR="00476CD1">
            <w:r>
              <w:t xml:space="preserve">Specifies a four digit hexadecimal </w:t>
            </w:r>
            <w:hyperlink r:id="rId8">
              <w:r>
                <w:rPr>
                  <w:rStyle w:val="Hyperlink"/>
                </w:rPr>
                <w:t>encoding</w:t>
              </w:r>
            </w:hyperlink>
            <w:r>
              <w:t xml:space="preserve"> of the first 32 bits of the 64-bit code-page bit field that identifies which specific character sets or code pages are supported by the parent font.</w:t>
            </w:r>
          </w:p>
          <w:p w:rsidRDefault="00476CD1" w:rsidP="002E5918" w:rsidR="00476CD1"/>
          <w:p w:rsidRDefault="00476CD1" w:rsidP="002E5918" w:rsidR="00476CD1">
            <w:r>
              <w:t>Each bit in this 32 bits represents the following code page:</w:t>
            </w:r>
          </w:p>
          <w:tbl>
            <w:tblPr>
              <w:tblStyle w:val="ElementTable"/>
              <w:tblW w:type="auto" w:w="0"/>
              <w:tblLayout w:type="fixed"/>
              <w:tblLook w:val="04A0" w:noVBand="1" w:noHBand="0" w:lastColumn="0" w:firstColumn="1" w:lastRow="0" w:firstRow="1"/>
            </w:tblPr>
            <w:tblGrid>
              <w:gridCol w:w="1091"/>
              <w:gridCol w:w="4850"/>
            </w:tblGrid>
            <w:tr w:rsidTr="002E5918" w:rsidR="00476CD1" w:rsidRPr="002B31B1">
              <w:trPr>
                <w:cnfStyle w:val="100000000000"/>
              </w:trPr>
              <w:tc>
                <w:tcPr>
                  <w:tcW w:type="dxa" w:w="1091"/>
                </w:tcPr>
                <w:p w:rsidRDefault="00476CD1" w:rsidP="002E5918" w:rsidR="00476CD1">
                  <w:r>
                    <w:t>Bit</w:t>
                  </w:r>
                </w:p>
              </w:tc>
              <w:tc>
                <w:tcPr>
                  <w:tcW w:type="dxa" w:w="4850"/>
                </w:tcPr>
                <w:p w:rsidRDefault="00476CD1" w:rsidP="002E5918" w:rsidR="00476CD1">
                  <w:r>
                    <w:t>Description</w:t>
                  </w:r>
                </w:p>
              </w:tc>
            </w:tr>
            <w:tr w:rsidTr="002E5918" w:rsidR="00476CD1">
              <w:tc>
                <w:tcPr>
                  <w:tcW w:type="dxa" w:w="1091"/>
                </w:tcPr>
                <w:p w:rsidRDefault="00476CD1" w:rsidP="002E5918" w:rsidR="00476CD1">
                  <w:r>
                    <w:t>0</w:t>
                  </w:r>
                </w:p>
              </w:tc>
              <w:tc>
                <w:tcPr>
                  <w:tcW w:type="dxa" w:w="4850"/>
                </w:tcPr>
                <w:p w:rsidRDefault="00476CD1" w:rsidP="002E5918" w:rsidR="00476CD1">
                  <w:r>
                    <w:t>Latin 1</w:t>
                  </w:r>
                </w:p>
              </w:tc>
            </w:tr>
            <w:tr w:rsidTr="002E5918" w:rsidR="00476CD1">
              <w:tc>
                <w:tcPr>
                  <w:tcW w:type="dxa" w:w="1091"/>
                </w:tcPr>
                <w:p w:rsidRDefault="00476CD1" w:rsidP="002E5918" w:rsidR="00476CD1">
                  <w:r>
                    <w:t>1</w:t>
                  </w:r>
                </w:p>
              </w:tc>
              <w:tc>
                <w:tcPr>
                  <w:tcW w:type="dxa" w:w="4850"/>
                </w:tcPr>
                <w:p w:rsidRDefault="00476CD1" w:rsidP="002E5918" w:rsidR="00476CD1">
                  <w:r>
                    <w:t>Latin 2: Eastern Europe</w:t>
                  </w:r>
                </w:p>
              </w:tc>
            </w:tr>
            <w:tr w:rsidTr="002E5918" w:rsidR="00476CD1">
              <w:tc>
                <w:tcPr>
                  <w:tcW w:type="dxa" w:w="1091"/>
                </w:tcPr>
                <w:p w:rsidRDefault="00476CD1" w:rsidP="002E5918" w:rsidR="00476CD1">
                  <w:r>
                    <w:t>2</w:t>
                  </w:r>
                </w:p>
              </w:tc>
              <w:tc>
                <w:tcPr>
                  <w:tcW w:type="dxa" w:w="4850"/>
                </w:tcPr>
                <w:p w:rsidRDefault="00476CD1" w:rsidP="002E5918" w:rsidR="00476CD1">
                  <w:r>
                    <w:t>Cyrillic</w:t>
                  </w:r>
                </w:p>
              </w:tc>
            </w:tr>
            <w:tr w:rsidTr="002E5918" w:rsidR="00476CD1">
              <w:tc>
                <w:tcPr>
                  <w:tcW w:type="dxa" w:w="1091"/>
                </w:tcPr>
                <w:p w:rsidRDefault="00476CD1" w:rsidP="002E5918" w:rsidR="00476CD1">
                  <w:r>
                    <w:t>3</w:t>
                  </w:r>
                </w:p>
              </w:tc>
              <w:tc>
                <w:tcPr>
                  <w:tcW w:type="dxa" w:w="4850"/>
                </w:tcPr>
                <w:p w:rsidRDefault="00476CD1" w:rsidP="002E5918" w:rsidR="00476CD1">
                  <w:r>
                    <w:t>Greek</w:t>
                  </w:r>
                </w:p>
              </w:tc>
            </w:tr>
            <w:tr w:rsidTr="002E5918" w:rsidR="00476CD1">
              <w:tc>
                <w:tcPr>
                  <w:tcW w:type="dxa" w:w="1091"/>
                </w:tcPr>
                <w:p w:rsidRDefault="00476CD1" w:rsidP="002E5918" w:rsidR="00476CD1">
                  <w:r>
                    <w:t>4</w:t>
                  </w:r>
                </w:p>
              </w:tc>
              <w:tc>
                <w:tcPr>
                  <w:tcW w:type="dxa" w:w="4850"/>
                </w:tcPr>
                <w:p w:rsidRDefault="00476CD1" w:rsidP="002E5918" w:rsidR="00476CD1">
                  <w:r>
                    <w:t>Turkish</w:t>
                  </w:r>
                </w:p>
              </w:tc>
            </w:tr>
            <w:tr w:rsidTr="002E5918" w:rsidR="00476CD1">
              <w:tc>
                <w:tcPr>
                  <w:tcW w:type="dxa" w:w="1091"/>
                </w:tcPr>
                <w:p w:rsidRDefault="00476CD1" w:rsidP="002E5918" w:rsidR="00476CD1">
                  <w:r>
                    <w:t>5</w:t>
                  </w:r>
                </w:p>
              </w:tc>
              <w:tc>
                <w:tcPr>
                  <w:tcW w:type="dxa" w:w="4850"/>
                </w:tcPr>
                <w:p w:rsidRDefault="00476CD1" w:rsidP="002E5918" w:rsidR="00476CD1">
                  <w:r>
                    <w:t>Hebrew</w:t>
                  </w:r>
                </w:p>
              </w:tc>
            </w:tr>
            <w:tr w:rsidTr="002E5918" w:rsidR="00476CD1">
              <w:tc>
                <w:tcPr>
                  <w:tcW w:type="dxa" w:w="1091"/>
                </w:tcPr>
                <w:p w:rsidRDefault="00476CD1" w:rsidP="002E5918" w:rsidR="00476CD1">
                  <w:r>
                    <w:t>6</w:t>
                  </w:r>
                </w:p>
              </w:tc>
              <w:tc>
                <w:tcPr>
                  <w:tcW w:type="dxa" w:w="4850"/>
                </w:tcPr>
                <w:p w:rsidRDefault="00476CD1" w:rsidP="002E5918" w:rsidR="00476CD1">
                  <w:r>
                    <w:t>Arabic</w:t>
                  </w:r>
                </w:p>
              </w:tc>
            </w:tr>
            <w:tr w:rsidTr="002E5918" w:rsidR="00476CD1">
              <w:tc>
                <w:tcPr>
                  <w:tcW w:type="dxa" w:w="1091"/>
                </w:tcPr>
                <w:p w:rsidRDefault="00476CD1" w:rsidP="002E5918" w:rsidR="00476CD1">
                  <w:r>
                    <w:t>7</w:t>
                  </w:r>
                </w:p>
              </w:tc>
              <w:tc>
                <w:tcPr>
                  <w:tcW w:type="dxa" w:w="4850"/>
                </w:tcPr>
                <w:p w:rsidRDefault="00476CD1" w:rsidP="002E5918" w:rsidR="00476CD1">
                  <w:r>
                    <w:t>Windows Baltic</w:t>
                  </w:r>
                </w:p>
              </w:tc>
            </w:tr>
            <w:tr w:rsidTr="002E5918" w:rsidR="00476CD1">
              <w:tc>
                <w:tcPr>
                  <w:tcW w:type="dxa" w:w="1091"/>
                </w:tcPr>
                <w:p w:rsidRDefault="00476CD1" w:rsidP="002E5918" w:rsidR="00476CD1">
                  <w:r>
                    <w:t>8 to 16</w:t>
                  </w:r>
                </w:p>
              </w:tc>
              <w:tc>
                <w:tcPr>
                  <w:tcW w:type="dxa" w:w="4850"/>
                </w:tcPr>
                <w:p w:rsidRDefault="00476CD1" w:rsidP="002E5918" w:rsidR="00476CD1">
                  <w:r>
                    <w:t>Reserved for Alternate ANSI</w:t>
                  </w:r>
                </w:p>
              </w:tc>
            </w:tr>
            <w:tr w:rsidTr="002E5918" w:rsidR="00476CD1">
              <w:tc>
                <w:tcPr>
                  <w:tcW w:type="dxa" w:w="1091"/>
                </w:tcPr>
                <w:p w:rsidRDefault="00476CD1" w:rsidP="002E5918" w:rsidR="00476CD1">
                  <w:r>
                    <w:t>17</w:t>
                  </w:r>
                </w:p>
              </w:tc>
              <w:tc>
                <w:tcPr>
                  <w:tcW w:type="dxa" w:w="4850"/>
                </w:tcPr>
                <w:p w:rsidRDefault="00476CD1" w:rsidP="002E5918" w:rsidR="00476CD1">
                  <w:r>
                    <w:t>Thai</w:t>
                  </w:r>
                </w:p>
              </w:tc>
            </w:tr>
            <w:tr w:rsidTr="002E5918" w:rsidR="00476CD1">
              <w:tc>
                <w:tcPr>
                  <w:tcW w:type="dxa" w:w="1091"/>
                </w:tcPr>
                <w:p w:rsidRDefault="00476CD1" w:rsidP="002E5918" w:rsidR="00476CD1">
                  <w:r>
                    <w:t>18</w:t>
                  </w:r>
                </w:p>
              </w:tc>
              <w:tc>
                <w:tcPr>
                  <w:tcW w:type="dxa" w:w="4850"/>
                </w:tcPr>
                <w:p w:rsidRDefault="00476CD1" w:rsidP="002E5918" w:rsidR="00476CD1">
                  <w:r>
                    <w:t>JIS/Japan</w:t>
                  </w:r>
                </w:p>
              </w:tc>
            </w:tr>
            <w:tr w:rsidTr="002E5918" w:rsidR="00476CD1">
              <w:tc>
                <w:tcPr>
                  <w:tcW w:type="dxa" w:w="1091"/>
                </w:tcPr>
                <w:p w:rsidRDefault="00476CD1" w:rsidP="002E5918" w:rsidR="00476CD1">
                  <w:r>
                    <w:t>19</w:t>
                  </w:r>
                </w:p>
              </w:tc>
              <w:tc>
                <w:tcPr>
                  <w:tcW w:type="dxa" w:w="4850"/>
                </w:tcPr>
                <w:p w:rsidRDefault="00476CD1" w:rsidP="002E5918" w:rsidR="00476CD1">
                  <w:r>
                    <w:t>Chinese (Simplified)</w:t>
                  </w:r>
                </w:p>
              </w:tc>
            </w:tr>
            <w:tr w:rsidTr="002E5918" w:rsidR="00476CD1">
              <w:tc>
                <w:tcPr>
                  <w:tcW w:type="dxa" w:w="1091"/>
                </w:tcPr>
                <w:p w:rsidRDefault="00476CD1" w:rsidP="002E5918" w:rsidR="00476CD1">
                  <w:r>
                    <w:t>20</w:t>
                  </w:r>
                </w:p>
              </w:tc>
              <w:tc>
                <w:tcPr>
                  <w:tcW w:type="dxa" w:w="4850"/>
                </w:tcPr>
                <w:p w:rsidRDefault="00476CD1" w:rsidP="002E5918" w:rsidR="00476CD1">
                  <w:r>
                    <w:t>Korean Wansung</w:t>
                  </w:r>
                </w:p>
              </w:tc>
            </w:tr>
            <w:tr w:rsidTr="002E5918" w:rsidR="00476CD1">
              <w:tc>
                <w:tcPr>
                  <w:tcW w:type="dxa" w:w="1091"/>
                </w:tcPr>
                <w:p w:rsidRDefault="00476CD1" w:rsidP="002E5918" w:rsidR="00476CD1">
                  <w:r>
                    <w:t>21</w:t>
                  </w:r>
                </w:p>
              </w:tc>
              <w:tc>
                <w:tcPr>
                  <w:tcW w:type="dxa" w:w="4850"/>
                </w:tcPr>
                <w:p w:rsidRDefault="00476CD1" w:rsidP="002E5918" w:rsidR="00476CD1">
                  <w:r>
                    <w:t>Chinese (Traditional)</w:t>
                  </w:r>
                </w:p>
              </w:tc>
            </w:tr>
            <w:tr w:rsidTr="002E5918" w:rsidR="00476CD1">
              <w:tc>
                <w:tcPr>
                  <w:tcW w:type="dxa" w:w="1091"/>
                </w:tcPr>
                <w:p w:rsidRDefault="00476CD1" w:rsidP="002E5918" w:rsidR="00476CD1">
                  <w:r>
                    <w:t>22 to 29</w:t>
                  </w:r>
                </w:p>
              </w:tc>
              <w:tc>
                <w:tcPr>
                  <w:tcW w:type="dxa" w:w="4850"/>
                </w:tcPr>
                <w:p w:rsidRDefault="00476CD1" w:rsidP="002E5918" w:rsidR="00476CD1">
                  <w:r>
                    <w:t>Reserved for Alternate ANSI and OEM</w:t>
                  </w:r>
                </w:p>
              </w:tc>
            </w:tr>
            <w:tr w:rsidTr="002E5918" w:rsidR="00476CD1">
              <w:tc>
                <w:tcPr>
                  <w:tcW w:type="dxa" w:w="1091"/>
                </w:tcPr>
                <w:p w:rsidRDefault="00476CD1" w:rsidP="002E5918" w:rsidR="00476CD1">
                  <w:r>
                    <w:t>30</w:t>
                  </w:r>
                </w:p>
              </w:tc>
              <w:tc>
                <w:tcPr>
                  <w:tcW w:type="dxa" w:w="4850"/>
                </w:tcPr>
                <w:p w:rsidRDefault="00476CD1" w:rsidP="002E5918" w:rsidR="00476CD1">
                  <w:r>
                    <w:t>Macintosh Character Set (Standard Roman)</w:t>
                  </w:r>
                </w:p>
              </w:tc>
            </w:tr>
            <w:tr w:rsidTr="002E5918" w:rsidR="00476CD1">
              <w:tc>
                <w:tcPr>
                  <w:tcW w:type="dxa" w:w="1091"/>
                </w:tcPr>
                <w:p w:rsidRDefault="00476CD1" w:rsidP="002E5918" w:rsidR="00476CD1">
                  <w:r>
                    <w:t>31</w:t>
                  </w:r>
                </w:p>
              </w:tc>
              <w:tc>
                <w:tcPr>
                  <w:tcW w:type="dxa" w:w="4850"/>
                </w:tcPr>
                <w:p w:rsidRDefault="00476CD1" w:rsidP="002E5918" w:rsidR="00476CD1">
                  <w:r>
                    <w:t>Symbol Character Set</w:t>
                  </w:r>
                </w:p>
              </w:tc>
            </w:tr>
          </w:tbl>
          <w:p w:rsidRDefault="00476CD1" w:rsidP="002E5918" w:rsidR="00476CD1"/>
          <w:p w:rsidRDefault="00476CD1" w:rsidP="002E5918" w:rsidR="00476CD1">
            <w:r>
              <w:t>[</w:t>
            </w:r>
            <w:r>
              <w:t>Example</w:t>
            </w:r>
            <w:r>
              <w:t>: Consider font information specified as follows:</w:t>
            </w:r>
          </w:p>
          <w:p w:rsidRDefault="00476CD1" w:rsidP="002E5918" w:rsidR="00476CD1"/>
          <w:p w:rsidRDefault="00476CD1" w:rsidP="002E5918" w:rsidR="00476CD1">
            <w:pPr>
              <w:pStyle w:val="c"/>
            </w:pPr>
            <w:r>
              <w:t>&lt;w:font w:name="Lucida Console"&gt;</w:t>
            </w:r>
            <w:r>
              <w:br/>
            </w:r>
            <w:r>
              <w:t xml:space="preserve">  &lt;w:sig w:csb0="</w:t>
            </w:r>
            <w:smartTag w:element="metricconverter" w:uri="urn:schemas-microsoft-com:office:smarttags">
              <w:smartTagPr>
                <w:attr w:val="0000001F" w:name="ProductID"/>
              </w:smartTagPr>
              <w:r w:rsidRPr="002B31B1">
                <w:t>0000001F</w:t>
              </w:r>
            </w:smartTag>
            <w:r>
              <w:t>" … /&gt;</w:t>
            </w:r>
            <w:r>
              <w:br/>
            </w:r>
            <w:r>
              <w:t xml:space="preserve">  …</w:t>
            </w:r>
            <w:r>
              <w:br/>
            </w:r>
            <w:r>
              <w:t>&lt;/w:font&gt;</w:t>
            </w:r>
          </w:p>
          <w:p w:rsidRDefault="00476CD1" w:rsidP="002E5918" w:rsidR="00476CD1"/>
          <w:p w:rsidRDefault="00476CD1" w:rsidP="002E5918" w:rsidR="00476CD1">
            <w:r>
              <w:t xml:space="preserve">The </w:t>
            </w:r>
            <w:r>
              <w:t>csb0</w:t>
            </w:r>
            <w:r>
              <w:t xml:space="preserve"> attribute value of </w:t>
            </w:r>
            <w:smartTag w:element="metricconverter" w:uri="urn:schemas-microsoft-com:office:smarttags">
              <w:smartTagPr>
                <w:attr w:val="0000001F" w:name="ProductID"/>
              </w:smartTagPr>
              <w:r w:rsidRPr="0003556E">
                <w:rPr>
                  <w:rStyle w:val="Attributevalue"/>
                </w:rPr>
                <w:t>0000001F</w:t>
              </w:r>
            </w:smartTag>
            <w:r>
              <w:t xml:space="preserve"> specifies that  the following code pages are supported by this font:</w:t>
            </w:r>
          </w:p>
          <w:p w:rsidRDefault="00476CD1" w:rsidP="002E5918" w:rsidR="00476CD1">
            <w:pPr>
              <w:pStyle w:val="ListBullet"/>
            </w:pPr>
            <w:r>
              <w:t>Latin 1</w:t>
            </w:r>
          </w:p>
          <w:p w:rsidRDefault="00476CD1" w:rsidP="002E5918" w:rsidR="00476CD1">
            <w:pPr>
              <w:pStyle w:val="ListBullet"/>
            </w:pPr>
            <w:r>
              <w:t>Latin 2: Eastern Europe</w:t>
            </w:r>
          </w:p>
          <w:p w:rsidRDefault="00476CD1" w:rsidP="002E5918" w:rsidR="00476CD1">
            <w:pPr>
              <w:pStyle w:val="ListBullet"/>
            </w:pPr>
            <w:r>
              <w:t>Cyrillic</w:t>
            </w:r>
          </w:p>
          <w:p w:rsidRDefault="00476CD1" w:rsidP="002E5918" w:rsidR="00476CD1">
            <w:pPr>
              <w:pStyle w:val="ListBullet"/>
            </w:pPr>
            <w:r>
              <w:t>Greek</w:t>
            </w:r>
          </w:p>
          <w:p w:rsidRDefault="00476CD1" w:rsidP="002E5918" w:rsidR="00476CD1">
            <w:pPr>
              <w:pStyle w:val="ListBullet"/>
            </w:pPr>
            <w:r>
              <w:t>Turkish</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ST_LongHexNumber</w:t>
              </w:r>
            </w:hyperlink>
            <w:r>
              <w:t/>
            </w:r>
            <w:r>
              <w:t xml:space="preserve"> simple </w:t>
            </w:r>
            <w:hyperlink r:id="rId10">
              <w:r>
                <w:rPr>
                  <w:rStyle w:val="Hyperlink"/>
                </w:rPr>
                <w:t>type</w:t>
              </w:r>
            </w:hyperlink>
            <w:r>
              <w:t xml:space="preserve"> (§</w:t>
            </w:r>
            <w:fldSimple w:instr="REF booke67a6b1c-8e17-420b-b91e-a53cce34435c \r \h">
              <w:r>
                <w:t>2.18.57</w:t>
              </w:r>
            </w:fldSimple>
            <w:r>
              <w:t>).</w:t>
            </w:r>
          </w:p>
        </w:tc>
      </w:tr>
      <w:tr w:rsidTr="002E5918" w:rsidR="00476CD1">
        <w:tc>
          <w:tcPr>
            <w:tcW w:type="pct" w:w="1000"/>
          </w:tcPr>
          <w:p w:rsidRDefault="00476CD1" w:rsidP="002E5918" w:rsidR="00476CD1">
            <w:r>
              <w:t>csb1</w:t>
            </w:r>
            <w:r>
              <w:t xml:space="preserve"> (Upper 32 Bits of Code Page Bit Field)</w:t>
            </w:r>
          </w:p>
        </w:tc>
        <w:tc>
          <w:tcPr>
            <w:tcW w:type="pct" w:w="4000"/>
          </w:tcPr>
          <w:p w:rsidRDefault="00476CD1" w:rsidP="002E5918" w:rsidR="00476CD1">
            <w:r>
              <w:t xml:space="preserve">Specifies a four digit hexadecimal </w:t>
            </w:r>
            <w:hyperlink r:id="rId8">
              <w:r>
                <w:rPr>
                  <w:rStyle w:val="Hyperlink"/>
                </w:rPr>
                <w:t>encoding</w:t>
              </w:r>
            </w:hyperlink>
            <w:r>
              <w:t xml:space="preserve"> of the upper 32 bits of the 64-bit code-page bit field that identifies which specific character sets or code pages are supported by the parent font.</w:t>
            </w:r>
          </w:p>
          <w:p w:rsidRDefault="00476CD1" w:rsidP="002E5918" w:rsidR="00476CD1"/>
          <w:p w:rsidRDefault="00476CD1" w:rsidP="002E5918" w:rsidR="00476CD1">
            <w:r>
              <w:t>Each bit in this 32 bits represents the following code page:</w:t>
            </w:r>
          </w:p>
          <w:tbl>
            <w:tblPr>
              <w:tblStyle w:val="ElementTable"/>
              <w:tblW w:type="auto" w:w="0"/>
              <w:tblLayout w:type="fixed"/>
              <w:tblLook w:val="04A0" w:noVBand="1" w:noHBand="0" w:lastColumn="0" w:firstColumn="1" w:lastRow="0" w:firstRow="1"/>
            </w:tblPr>
            <w:tblGrid>
              <w:gridCol w:w="1091"/>
              <w:gridCol w:w="4850"/>
            </w:tblGrid>
            <w:tr w:rsidTr="002E5918" w:rsidR="00476CD1" w:rsidRPr="002B31B1">
              <w:trPr>
                <w:cnfStyle w:val="100000000000"/>
              </w:trPr>
              <w:tc>
                <w:tcPr>
                  <w:tcW w:type="dxa" w:w="1091"/>
                </w:tcPr>
                <w:p w:rsidRDefault="00476CD1" w:rsidP="002E5918" w:rsidR="00476CD1">
                  <w:r>
                    <w:t>Bit</w:t>
                  </w:r>
                </w:p>
              </w:tc>
              <w:tc>
                <w:tcPr>
                  <w:tcW w:type="dxa" w:w="4850"/>
                </w:tcPr>
                <w:p w:rsidRDefault="00476CD1" w:rsidP="002E5918" w:rsidR="00476CD1">
                  <w:r>
                    <w:t>Description</w:t>
                  </w:r>
                </w:p>
              </w:tc>
            </w:tr>
            <w:tr w:rsidTr="002E5918" w:rsidR="00476CD1">
              <w:tc>
                <w:tcPr>
                  <w:tcW w:type="dxa" w:w="1091"/>
                </w:tcPr>
                <w:p w:rsidRDefault="00476CD1" w:rsidP="002E5918" w:rsidR="00476CD1">
                  <w:r>
                    <w:t>0 to 15</w:t>
                  </w:r>
                </w:p>
              </w:tc>
              <w:tc>
                <w:tcPr>
                  <w:tcW w:type="dxa" w:w="4850"/>
                </w:tcPr>
                <w:p w:rsidRDefault="00476CD1" w:rsidP="002E5918" w:rsidR="00476CD1">
                  <w:r>
                    <w:t>Reserved for OEM</w:t>
                  </w:r>
                </w:p>
              </w:tc>
            </w:tr>
            <w:tr w:rsidTr="002E5918" w:rsidR="00476CD1">
              <w:tc>
                <w:tcPr>
                  <w:tcW w:type="dxa" w:w="1091"/>
                </w:tcPr>
                <w:p w:rsidRDefault="00476CD1" w:rsidP="002E5918" w:rsidR="00476CD1">
                  <w:r>
                    <w:t>16</w:t>
                  </w:r>
                </w:p>
              </w:tc>
              <w:tc>
                <w:tcPr>
                  <w:tcW w:type="dxa" w:w="4850"/>
                </w:tcPr>
                <w:p w:rsidRDefault="00476CD1" w:rsidP="002E5918" w:rsidR="00476CD1">
                  <w:r>
                    <w:t>IBM Greek</w:t>
                  </w:r>
                </w:p>
              </w:tc>
            </w:tr>
            <w:tr w:rsidTr="002E5918" w:rsidR="00476CD1">
              <w:tc>
                <w:tcPr>
                  <w:tcW w:type="dxa" w:w="1091"/>
                </w:tcPr>
                <w:p w:rsidRDefault="00476CD1" w:rsidP="002E5918" w:rsidR="00476CD1">
                  <w:r>
                    <w:t>17</w:t>
                  </w:r>
                </w:p>
              </w:tc>
              <w:tc>
                <w:tcPr>
                  <w:tcW w:type="dxa" w:w="4850"/>
                </w:tcPr>
                <w:p w:rsidRDefault="00476CD1" w:rsidP="002E5918" w:rsidR="00476CD1">
                  <w:r>
                    <w:t>MS-DOS Russian</w:t>
                  </w:r>
                </w:p>
              </w:tc>
            </w:tr>
            <w:tr w:rsidTr="002E5918" w:rsidR="00476CD1">
              <w:tc>
                <w:tcPr>
                  <w:tcW w:type="dxa" w:w="1091"/>
                </w:tcPr>
                <w:p w:rsidRDefault="00476CD1" w:rsidP="002E5918" w:rsidR="00476CD1">
                  <w:r>
                    <w:t>18</w:t>
                  </w:r>
                </w:p>
              </w:tc>
              <w:tc>
                <w:tcPr>
                  <w:tcW w:type="dxa" w:w="4850"/>
                </w:tcPr>
                <w:p w:rsidRDefault="00476CD1" w:rsidP="002E5918" w:rsidR="00476CD1">
                  <w:r>
                    <w:t>MS-DOS Nordic</w:t>
                  </w:r>
                </w:p>
              </w:tc>
            </w:tr>
            <w:tr w:rsidTr="002E5918" w:rsidR="00476CD1">
              <w:tc>
                <w:tcPr>
                  <w:tcW w:type="dxa" w:w="1091"/>
                </w:tcPr>
                <w:p w:rsidRDefault="00476CD1" w:rsidP="002E5918" w:rsidR="00476CD1">
                  <w:r>
                    <w:t>19</w:t>
                  </w:r>
                </w:p>
              </w:tc>
              <w:tc>
                <w:tcPr>
                  <w:tcW w:type="dxa" w:w="4850"/>
                </w:tcPr>
                <w:p w:rsidRDefault="00476CD1" w:rsidP="002E5918" w:rsidR="00476CD1">
                  <w:r>
                    <w:t>Arabic</w:t>
                  </w:r>
                </w:p>
              </w:tc>
            </w:tr>
            <w:tr w:rsidTr="002E5918" w:rsidR="00476CD1">
              <w:tc>
                <w:tcPr>
                  <w:tcW w:type="dxa" w:w="1091"/>
                </w:tcPr>
                <w:p w:rsidRDefault="00476CD1" w:rsidP="002E5918" w:rsidR="00476CD1">
                  <w:r>
                    <w:t>20</w:t>
                  </w:r>
                </w:p>
              </w:tc>
              <w:tc>
                <w:tcPr>
                  <w:tcW w:type="dxa" w:w="4850"/>
                </w:tcPr>
                <w:p w:rsidRDefault="00476CD1" w:rsidP="002E5918" w:rsidR="00476CD1">
                  <w:r>
                    <w:t>MS-DOS Canadian French</w:t>
                  </w:r>
                </w:p>
              </w:tc>
            </w:tr>
            <w:tr w:rsidTr="002E5918" w:rsidR="00476CD1">
              <w:tc>
                <w:tcPr>
                  <w:tcW w:type="dxa" w:w="1091"/>
                </w:tcPr>
                <w:p w:rsidRDefault="00476CD1" w:rsidP="002E5918" w:rsidR="00476CD1">
                  <w:r>
                    <w:t>21</w:t>
                  </w:r>
                </w:p>
              </w:tc>
              <w:tc>
                <w:tcPr>
                  <w:tcW w:type="dxa" w:w="4850"/>
                </w:tcPr>
                <w:p w:rsidRDefault="00476CD1" w:rsidP="002E5918" w:rsidR="00476CD1">
                  <w:r>
                    <w:t>Hebrew</w:t>
                  </w:r>
                </w:p>
              </w:tc>
            </w:tr>
            <w:tr w:rsidTr="002E5918" w:rsidR="00476CD1">
              <w:tc>
                <w:tcPr>
                  <w:tcW w:type="dxa" w:w="1091"/>
                </w:tcPr>
                <w:p w:rsidRDefault="00476CD1" w:rsidP="002E5918" w:rsidR="00476CD1">
                  <w:r>
                    <w:t>22</w:t>
                  </w:r>
                </w:p>
              </w:tc>
              <w:tc>
                <w:tcPr>
                  <w:tcW w:type="dxa" w:w="4850"/>
                </w:tcPr>
                <w:p w:rsidRDefault="00476CD1" w:rsidP="002E5918" w:rsidR="00476CD1">
                  <w:r>
                    <w:t>MS-DOS Icelandic</w:t>
                  </w:r>
                </w:p>
              </w:tc>
            </w:tr>
            <w:tr w:rsidTr="002E5918" w:rsidR="00476CD1">
              <w:tc>
                <w:tcPr>
                  <w:tcW w:type="dxa" w:w="1091"/>
                </w:tcPr>
                <w:p w:rsidRDefault="00476CD1" w:rsidP="002E5918" w:rsidR="00476CD1">
                  <w:r>
                    <w:t>23</w:t>
                  </w:r>
                </w:p>
              </w:tc>
              <w:tc>
                <w:tcPr>
                  <w:tcW w:type="dxa" w:w="4850"/>
                </w:tcPr>
                <w:p w:rsidRDefault="00476CD1" w:rsidP="002E5918" w:rsidR="00476CD1">
                  <w:r>
                    <w:t>MS-DOS Portuguese</w:t>
                  </w:r>
                </w:p>
              </w:tc>
            </w:tr>
            <w:tr w:rsidTr="002E5918" w:rsidR="00476CD1">
              <w:tc>
                <w:tcPr>
                  <w:tcW w:type="dxa" w:w="1091"/>
                </w:tcPr>
                <w:p w:rsidRDefault="00476CD1" w:rsidP="002E5918" w:rsidR="00476CD1">
                  <w:r>
                    <w:t>24</w:t>
                  </w:r>
                </w:p>
              </w:tc>
              <w:tc>
                <w:tcPr>
                  <w:tcW w:type="dxa" w:w="4850"/>
                </w:tcPr>
                <w:p w:rsidRDefault="00476CD1" w:rsidP="002E5918" w:rsidR="00476CD1">
                  <w:r>
                    <w:t>IBM Turkish</w:t>
                  </w:r>
                </w:p>
              </w:tc>
            </w:tr>
            <w:tr w:rsidTr="002E5918" w:rsidR="00476CD1">
              <w:tc>
                <w:tcPr>
                  <w:tcW w:type="dxa" w:w="1091"/>
                </w:tcPr>
                <w:p w:rsidRDefault="00476CD1" w:rsidP="002E5918" w:rsidR="00476CD1">
                  <w:r>
                    <w:t>25</w:t>
                  </w:r>
                </w:p>
              </w:tc>
              <w:tc>
                <w:tcPr>
                  <w:tcW w:type="dxa" w:w="4850"/>
                </w:tcPr>
                <w:p w:rsidRDefault="00476CD1" w:rsidP="002E5918" w:rsidR="00476CD1">
                  <w:r>
                    <w:t>IBM Cyrillic</w:t>
                  </w:r>
                </w:p>
              </w:tc>
            </w:tr>
            <w:tr w:rsidTr="002E5918" w:rsidR="00476CD1">
              <w:tc>
                <w:tcPr>
                  <w:tcW w:type="dxa" w:w="1091"/>
                </w:tcPr>
                <w:p w:rsidRDefault="00476CD1" w:rsidP="002E5918" w:rsidR="00476CD1">
                  <w:r>
                    <w:t>26</w:t>
                  </w:r>
                </w:p>
              </w:tc>
              <w:tc>
                <w:tcPr>
                  <w:tcW w:type="dxa" w:w="4850"/>
                </w:tcPr>
                <w:p w:rsidRDefault="00476CD1" w:rsidP="002E5918" w:rsidR="00476CD1">
                  <w:r>
                    <w:t>Latin 2</w:t>
                  </w:r>
                </w:p>
              </w:tc>
            </w:tr>
            <w:tr w:rsidTr="002E5918" w:rsidR="00476CD1">
              <w:tc>
                <w:tcPr>
                  <w:tcW w:type="dxa" w:w="1091"/>
                </w:tcPr>
                <w:p w:rsidRDefault="00476CD1" w:rsidP="002E5918" w:rsidR="00476CD1">
                  <w:r>
                    <w:t>27</w:t>
                  </w:r>
                </w:p>
              </w:tc>
              <w:tc>
                <w:tcPr>
                  <w:tcW w:type="dxa" w:w="4850"/>
                </w:tcPr>
                <w:p w:rsidRDefault="00476CD1" w:rsidP="002E5918" w:rsidR="00476CD1">
                  <w:r>
                    <w:t>MS-DOS Baltic</w:t>
                  </w:r>
                </w:p>
              </w:tc>
            </w:tr>
            <w:tr w:rsidTr="002E5918" w:rsidR="00476CD1">
              <w:tc>
                <w:tcPr>
                  <w:tcW w:type="dxa" w:w="1091"/>
                </w:tcPr>
                <w:p w:rsidRDefault="00476CD1" w:rsidP="002E5918" w:rsidR="00476CD1">
                  <w:r>
                    <w:t>28</w:t>
                  </w:r>
                </w:p>
              </w:tc>
              <w:tc>
                <w:tcPr>
                  <w:tcW w:type="dxa" w:w="4850"/>
                </w:tcPr>
                <w:p w:rsidRDefault="00476CD1" w:rsidP="002E5918" w:rsidR="00476CD1">
                  <w:r>
                    <w:t>Greek (former 437G)</w:t>
                  </w:r>
                </w:p>
              </w:tc>
            </w:tr>
            <w:tr w:rsidTr="002E5918" w:rsidR="00476CD1">
              <w:tc>
                <w:tcPr>
                  <w:tcW w:type="dxa" w:w="1091"/>
                </w:tcPr>
                <w:p w:rsidRDefault="00476CD1" w:rsidP="002E5918" w:rsidR="00476CD1">
                  <w:r>
                    <w:t>29</w:t>
                  </w:r>
                </w:p>
              </w:tc>
              <w:tc>
                <w:tcPr>
                  <w:tcW w:type="dxa" w:w="4850"/>
                </w:tcPr>
                <w:p w:rsidRDefault="00476CD1" w:rsidP="002E5918" w:rsidR="00476CD1">
                  <w:r>
                    <w:t>Arabic (AMSO 708)</w:t>
                  </w:r>
                </w:p>
              </w:tc>
            </w:tr>
            <w:tr w:rsidTr="002E5918" w:rsidR="00476CD1">
              <w:tc>
                <w:tcPr>
                  <w:tcW w:type="dxa" w:w="1091"/>
                </w:tcPr>
                <w:p w:rsidRDefault="00476CD1" w:rsidP="002E5918" w:rsidR="00476CD1">
                  <w:r>
                    <w:t>30</w:t>
                  </w:r>
                </w:p>
              </w:tc>
              <w:tc>
                <w:tcPr>
                  <w:tcW w:type="dxa" w:w="4850"/>
                </w:tcPr>
                <w:p w:rsidRDefault="00476CD1" w:rsidP="002E5918" w:rsidR="00476CD1">
                  <w:r>
                    <w:t>WE/Latin 1</w:t>
                  </w:r>
                </w:p>
              </w:tc>
            </w:tr>
            <w:tr w:rsidTr="002E5918" w:rsidR="00476CD1">
              <w:tc>
                <w:tcPr>
                  <w:tcW w:type="dxa" w:w="1091"/>
                </w:tcPr>
                <w:p w:rsidRDefault="00476CD1" w:rsidP="002E5918" w:rsidR="00476CD1">
                  <w:r>
                    <w:t>31</w:t>
                  </w:r>
                </w:p>
              </w:tc>
              <w:tc>
                <w:tcPr>
                  <w:tcW w:type="dxa" w:w="4850"/>
                </w:tcPr>
                <w:p w:rsidRDefault="00476CD1" w:rsidP="002E5918" w:rsidR="00476CD1">
                  <w:r>
                    <w:t>US</w:t>
                  </w:r>
                </w:p>
              </w:tc>
            </w:tr>
          </w:tbl>
          <w:p w:rsidRDefault="00476CD1" w:rsidP="002E5918" w:rsidR="00476CD1"/>
          <w:p w:rsidRDefault="00476CD1" w:rsidP="002E5918" w:rsidR="00476CD1">
            <w:r>
              <w:t>[</w:t>
            </w:r>
            <w:r>
              <w:t>Example</w:t>
            </w:r>
            <w:r>
              <w:t>: Consider font information specified as follows:</w:t>
            </w:r>
          </w:p>
          <w:p w:rsidRDefault="00476CD1" w:rsidP="002E5918" w:rsidR="00476CD1"/>
          <w:p w:rsidRDefault="00476CD1" w:rsidP="002E5918" w:rsidR="00476CD1">
            <w:pPr>
              <w:pStyle w:val="c"/>
            </w:pPr>
            <w:r>
              <w:t>&lt;w:font w:name="Lucida Console"&gt;</w:t>
            </w:r>
            <w:r>
              <w:br/>
            </w:r>
            <w:r>
              <w:t xml:space="preserve">  &lt;w:sig w:csb1="00000000" … /&gt;</w:t>
            </w:r>
            <w:r>
              <w:br/>
            </w:r>
            <w:r>
              <w:t xml:space="preserve">  …</w:t>
            </w:r>
            <w:r>
              <w:br/>
            </w:r>
            <w:r>
              <w:t>&lt;/w:font&gt;</w:t>
            </w:r>
          </w:p>
          <w:p w:rsidRDefault="00476CD1" w:rsidP="002E5918" w:rsidR="00476CD1"/>
          <w:p w:rsidRDefault="00476CD1" w:rsidP="002E5918" w:rsidR="00476CD1">
            <w:r>
              <w:t xml:space="preserve">The </w:t>
            </w:r>
            <w:r>
              <w:t>csb1</w:t>
            </w:r>
            <w:r>
              <w:t xml:space="preserve"> attribute value of </w:t>
            </w:r>
            <w:r>
              <w:t>00000000</w:t>
            </w:r>
            <w:r>
              <w:t xml:space="preserve"> specifies that none of the specified code pages are supported by this font.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ST_LongHexNumber</w:t>
              </w:r>
            </w:hyperlink>
            <w:r>
              <w:t/>
            </w:r>
            <w:r>
              <w:t xml:space="preserve"> simple </w:t>
            </w:r>
            <w:hyperlink r:id="rId10">
              <w:r>
                <w:rPr>
                  <w:rStyle w:val="Hyperlink"/>
                </w:rPr>
                <w:t>type</w:t>
              </w:r>
            </w:hyperlink>
            <w:r>
              <w:t xml:space="preserve"> (§</w:t>
            </w:r>
            <w:fldSimple w:instr="REF booke67a6b1c-8e17-420b-b91e-a53cce34435c \r \h">
              <w:r>
                <w:t>2.18.57</w:t>
              </w:r>
            </w:fldSimple>
            <w:r>
              <w:t>).</w:t>
            </w:r>
          </w:p>
        </w:tc>
      </w:tr>
      <w:tr w:rsidTr="002E5918" w:rsidR="00476CD1">
        <w:tc>
          <w:tcPr>
            <w:tcW w:type="pct" w:w="1000"/>
          </w:tcPr>
          <w:p w:rsidRDefault="00476CD1" w:rsidP="002E5918" w:rsidR="00476CD1">
            <w:r>
              <w:t>usb0</w:t>
            </w:r>
            <w:r>
              <w:t xml:space="preserve"> (First 32 Bits of Unicode Subset Bitfield)</w:t>
            </w:r>
          </w:p>
        </w:tc>
        <w:tc>
          <w:tcPr>
            <w:tcW w:type="pct" w:w="4000"/>
          </w:tcPr>
          <w:p w:rsidRDefault="00476CD1" w:rsidP="002E5918" w:rsidR="00476CD1">
            <w:r>
              <w:t>Specifies the first 32 bits of the 128-bit Unicode subset bit field (USB). Subranges are ordered in accordance with the ISO 10646 standard.</w:t>
            </w:r>
          </w:p>
          <w:p w:rsidRDefault="00476CD1" w:rsidP="002E5918" w:rsidR="00476CD1"/>
          <w:p w:rsidRDefault="00476CD1" w:rsidP="002E5918" w:rsidR="00476CD1">
            <w:r>
              <w:t>[</w:t>
            </w:r>
            <w:r>
              <w:t>Example</w:t>
            </w:r>
            <w:r>
              <w:t>: Consider font information specified as follows:</w:t>
            </w:r>
          </w:p>
          <w:p w:rsidRDefault="00476CD1" w:rsidP="002E5918" w:rsidR="00476CD1"/>
          <w:p w:rsidRDefault="00476CD1" w:rsidP="002E5918" w:rsidR="00476CD1">
            <w:pPr>
              <w:pStyle w:val="c"/>
            </w:pPr>
            <w:r>
              <w:t>&lt;w:font w:name="Times New Roman"&gt;</w:t>
            </w:r>
            <w:r>
              <w:br/>
            </w:r>
            <w:r>
              <w:t xml:space="preserve">  &lt;w:sig w:usb0="20002A87" … /&gt;</w:t>
            </w:r>
            <w:r>
              <w:br/>
            </w:r>
            <w:r>
              <w:t xml:space="preserve">  …</w:t>
            </w:r>
            <w:r>
              <w:br/>
            </w:r>
            <w:r>
              <w:t>&lt;/w:font&gt;</w:t>
            </w:r>
          </w:p>
          <w:p w:rsidRDefault="00476CD1" w:rsidP="002E5918" w:rsidR="00476CD1"/>
          <w:p w:rsidRDefault="00476CD1" w:rsidP="002E5918" w:rsidR="00476CD1">
            <w:r>
              <w:t xml:space="preserve">The </w:t>
            </w:r>
            <w:r>
              <w:t>usb0</w:t>
            </w:r>
            <w:r>
              <w:t xml:space="preserve"> attribute value of </w:t>
            </w:r>
            <w:r>
              <w:t>20002A87</w:t>
            </w:r>
            <w:r>
              <w:t xml:space="preserve"> specifies that the first 32 bits of the bitfield are 00100000000000000010101010000111, which corresponds to:</w:t>
            </w:r>
          </w:p>
          <w:p w:rsidRDefault="00476CD1" w:rsidP="002E5918" w:rsidR="00476CD1">
            <w:pPr>
              <w:pStyle w:val="ListBullet"/>
            </w:pPr>
            <w:r>
              <w:t>Basic Latin</w:t>
            </w:r>
          </w:p>
          <w:p w:rsidRDefault="00476CD1" w:rsidP="002E5918" w:rsidR="00476CD1">
            <w:pPr>
              <w:pStyle w:val="ListBullet"/>
            </w:pPr>
            <w:r>
              <w:t>Latin-1 Supplement</w:t>
            </w:r>
          </w:p>
          <w:p w:rsidRDefault="00476CD1" w:rsidP="002E5918" w:rsidR="00476CD1">
            <w:pPr>
              <w:pStyle w:val="ListBullet"/>
            </w:pPr>
            <w:r>
              <w:t>Latin Extended-A</w:t>
            </w:r>
          </w:p>
          <w:p w:rsidRDefault="00476CD1" w:rsidP="002E5918" w:rsidR="00476CD1">
            <w:pPr>
              <w:pStyle w:val="ListBullet"/>
            </w:pPr>
            <w:r>
              <w:t>Basic Greek</w:t>
            </w:r>
          </w:p>
          <w:p w:rsidRDefault="00476CD1" w:rsidP="002E5918" w:rsidR="00476CD1">
            <w:pPr>
              <w:pStyle w:val="ListBullet"/>
            </w:pPr>
            <w:r>
              <w:t>Cyrillic</w:t>
            </w:r>
          </w:p>
          <w:p w:rsidRDefault="00476CD1" w:rsidP="002E5918" w:rsidR="00476CD1">
            <w:pPr>
              <w:pStyle w:val="ListBullet"/>
            </w:pPr>
            <w:r>
              <w:t>Basic Hebrew</w:t>
            </w:r>
          </w:p>
          <w:p w:rsidRDefault="00476CD1" w:rsidP="002E5918" w:rsidR="00476CD1">
            <w:pPr>
              <w:pStyle w:val="ListBullet"/>
            </w:pPr>
            <w:r>
              <w:t>Basic Arabic</w:t>
            </w:r>
          </w:p>
          <w:p w:rsidRDefault="00476CD1" w:rsidP="002E5918" w:rsidR="00476CD1">
            <w:pPr>
              <w:pStyle w:val="ListBullet"/>
            </w:pPr>
            <w:r>
              <w:t>Latin Extended Additional</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ST_LongHexNumber</w:t>
              </w:r>
            </w:hyperlink>
            <w:r>
              <w:t/>
            </w:r>
            <w:r>
              <w:t xml:space="preserve"> simple </w:t>
            </w:r>
            <w:hyperlink r:id="rId10">
              <w:r>
                <w:rPr>
                  <w:rStyle w:val="Hyperlink"/>
                </w:rPr>
                <w:t>type</w:t>
              </w:r>
            </w:hyperlink>
            <w:r>
              <w:t xml:space="preserve"> (§</w:t>
            </w:r>
            <w:fldSimple w:instr="REF booke67a6b1c-8e17-420b-b91e-a53cce34435c \r \h">
              <w:r>
                <w:t>2.18.57</w:t>
              </w:r>
            </w:fldSimple>
            <w:r>
              <w:t>).</w:t>
            </w:r>
          </w:p>
        </w:tc>
      </w:tr>
      <w:tr w:rsidTr="002E5918" w:rsidR="00476CD1">
        <w:tc>
          <w:tcPr>
            <w:tcW w:type="pct" w:w="1000"/>
          </w:tcPr>
          <w:p w:rsidRDefault="00476CD1" w:rsidP="002E5918" w:rsidR="00476CD1">
            <w:r>
              <w:t>usb1</w:t>
            </w:r>
            <w:r>
              <w:t xml:space="preserve"> (Second 32 Bits of Unicode Subset Bitfield)</w:t>
            </w:r>
          </w:p>
        </w:tc>
        <w:tc>
          <w:tcPr>
            <w:tcW w:type="pct" w:w="4000"/>
          </w:tcPr>
          <w:p w:rsidRDefault="00476CD1" w:rsidP="002E5918" w:rsidR="00476CD1">
            <w:r>
              <w:t>Specifies the second 32 bits of the 128-bit Unicode subset bit field (USB). Subranges are ordered in accordance with the ISO 10646 standard.</w:t>
            </w:r>
          </w:p>
          <w:p w:rsidRDefault="00476CD1" w:rsidP="002E5918" w:rsidR="00476CD1"/>
          <w:p w:rsidRDefault="00476CD1" w:rsidP="002E5918" w:rsidR="00476CD1">
            <w:r>
              <w:t>[</w:t>
            </w:r>
            <w:r>
              <w:t>Example</w:t>
            </w:r>
            <w:r>
              <w:t>: Consider font information specified as follows:</w:t>
            </w:r>
          </w:p>
          <w:p w:rsidRDefault="00476CD1" w:rsidP="002E5918" w:rsidR="00476CD1"/>
          <w:p w:rsidRDefault="00476CD1" w:rsidP="002E5918" w:rsidR="00476CD1">
            <w:pPr>
              <w:pStyle w:val="c"/>
            </w:pPr>
            <w:r>
              <w:t>&lt;w:font w:name="Times New Roman"&gt;</w:t>
            </w:r>
            <w:r>
              <w:br/>
            </w:r>
            <w:r>
              <w:t xml:space="preserve">  &lt;w:sig w:usb1="80000000" … /&gt;</w:t>
            </w:r>
            <w:r>
              <w:br/>
            </w:r>
            <w:r>
              <w:t xml:space="preserve">  …</w:t>
            </w:r>
            <w:r>
              <w:br/>
            </w:r>
            <w:r>
              <w:t>&lt;/w:font&gt;</w:t>
            </w:r>
          </w:p>
          <w:p w:rsidRDefault="00476CD1" w:rsidP="002E5918" w:rsidR="00476CD1"/>
          <w:p w:rsidRDefault="00476CD1" w:rsidP="002E5918" w:rsidR="00476CD1">
            <w:r>
              <w:t xml:space="preserve">The </w:t>
            </w:r>
            <w:r>
              <w:t>usb0</w:t>
            </w:r>
            <w:r>
              <w:t xml:space="preserve"> attribute value of </w:t>
            </w:r>
            <w:r>
              <w:t>80000000</w:t>
            </w:r>
            <w:r>
              <w:t xml:space="preserve"> specifies that the first 32 bits of the bitfield are 10000000000000000000000000000000, which corresponds to:</w:t>
            </w:r>
          </w:p>
          <w:p w:rsidRDefault="00476CD1" w:rsidP="002E5918" w:rsidR="00476CD1">
            <w:pPr>
              <w:pStyle w:val="ListBullet"/>
            </w:pPr>
            <w:r>
              <w:t>Arabic Presentation Forms-A</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ST_LongHexNumber</w:t>
              </w:r>
            </w:hyperlink>
            <w:r>
              <w:t/>
            </w:r>
            <w:r>
              <w:t xml:space="preserve"> simple </w:t>
            </w:r>
            <w:hyperlink r:id="rId10">
              <w:r>
                <w:rPr>
                  <w:rStyle w:val="Hyperlink"/>
                </w:rPr>
                <w:t>type</w:t>
              </w:r>
            </w:hyperlink>
            <w:r>
              <w:t xml:space="preserve"> (§</w:t>
            </w:r>
            <w:fldSimple w:instr="REF booke67a6b1c-8e17-420b-b91e-a53cce34435c \r \h">
              <w:r>
                <w:t>2.18.57</w:t>
              </w:r>
            </w:fldSimple>
            <w:r>
              <w:t>).</w:t>
            </w:r>
          </w:p>
        </w:tc>
      </w:tr>
      <w:tr w:rsidTr="002E5918" w:rsidR="00476CD1">
        <w:tc>
          <w:tcPr>
            <w:tcW w:type="pct" w:w="1000"/>
          </w:tcPr>
          <w:p w:rsidRDefault="00476CD1" w:rsidP="002E5918" w:rsidR="00476CD1">
            <w:r>
              <w:t>usb2</w:t>
            </w:r>
            <w:r>
              <w:t xml:space="preserve"> (Third 32 Bits of Unicode Subset Bitfield)</w:t>
            </w:r>
          </w:p>
        </w:tc>
        <w:tc>
          <w:tcPr>
            <w:tcW w:type="pct" w:w="4000"/>
          </w:tcPr>
          <w:p w:rsidRDefault="00476CD1" w:rsidP="002E5918" w:rsidR="00476CD1">
            <w:r>
              <w:t>Specifies the third 32 bits of the 128-bit Unicode subset bit field (USB). Subranges are ordered in accordance with the ISO 10646 standard.</w:t>
            </w:r>
          </w:p>
          <w:p w:rsidRDefault="00476CD1" w:rsidP="002E5918" w:rsidR="00476CD1"/>
          <w:p w:rsidRDefault="00476CD1" w:rsidP="002E5918" w:rsidR="00476CD1">
            <w:r>
              <w:t>[</w:t>
            </w:r>
            <w:r>
              <w:t>Example</w:t>
            </w:r>
            <w:r>
              <w:t>: Consider font information specified as follows:</w:t>
            </w:r>
          </w:p>
          <w:p w:rsidRDefault="00476CD1" w:rsidP="002E5918" w:rsidR="00476CD1"/>
          <w:p w:rsidRDefault="00476CD1" w:rsidP="002E5918" w:rsidR="00476CD1">
            <w:pPr>
              <w:pStyle w:val="c"/>
            </w:pPr>
            <w:r>
              <w:t>&lt;w:font w:name="Times New Roman"&gt;</w:t>
            </w:r>
            <w:r>
              <w:br/>
            </w:r>
            <w:r>
              <w:t xml:space="preserve">  &lt;w:sig w:usb2="00000008" … /&gt;</w:t>
            </w:r>
            <w:r>
              <w:br/>
            </w:r>
            <w:r>
              <w:t xml:space="preserve">  …</w:t>
            </w:r>
            <w:r>
              <w:br/>
            </w:r>
            <w:r>
              <w:t>&lt;/w:font&gt;</w:t>
            </w:r>
          </w:p>
          <w:p w:rsidRDefault="00476CD1" w:rsidP="002E5918" w:rsidR="00476CD1"/>
          <w:p w:rsidRDefault="00476CD1" w:rsidP="002E5918" w:rsidR="00476CD1">
            <w:r>
              <w:t xml:space="preserve">The </w:t>
            </w:r>
            <w:r>
              <w:t>usb0</w:t>
            </w:r>
            <w:r>
              <w:t xml:space="preserve"> attribute value of </w:t>
            </w:r>
            <w:r>
              <w:t>80000000</w:t>
            </w:r>
            <w:r>
              <w:t xml:space="preserve"> specifies that the first 32 bits of the bitfield are 00000000000000000000000000001000, which corresponds to:</w:t>
            </w:r>
          </w:p>
          <w:p w:rsidRDefault="00476CD1" w:rsidP="002E5918" w:rsidR="00476CD1">
            <w:pPr>
              <w:pStyle w:val="ListBullet"/>
            </w:pPr>
            <w:r>
              <w:t>Arabic Presentation Forms-B</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ST_LongHexNumber</w:t>
              </w:r>
            </w:hyperlink>
            <w:r>
              <w:t/>
            </w:r>
            <w:r>
              <w:t xml:space="preserve"> simple </w:t>
            </w:r>
            <w:hyperlink r:id="rId10">
              <w:r>
                <w:rPr>
                  <w:rStyle w:val="Hyperlink"/>
                </w:rPr>
                <w:t>type</w:t>
              </w:r>
            </w:hyperlink>
            <w:r>
              <w:t xml:space="preserve"> (§</w:t>
            </w:r>
            <w:fldSimple w:instr="REF booke67a6b1c-8e17-420b-b91e-a53cce34435c \r \h">
              <w:r>
                <w:t>2.18.57</w:t>
              </w:r>
            </w:fldSimple>
            <w:r>
              <w:t>).</w:t>
            </w:r>
          </w:p>
        </w:tc>
      </w:tr>
      <w:tr w:rsidTr="002E5918" w:rsidR="00476CD1">
        <w:tc>
          <w:tcPr>
            <w:tcW w:type="pct" w:w="1000"/>
          </w:tcPr>
          <w:p w:rsidRDefault="00476CD1" w:rsidP="002E5918" w:rsidR="00476CD1">
            <w:r>
              <w:t>usb3</w:t>
            </w:r>
            <w:r>
              <w:t xml:space="preserve"> (Fourth 32 Bits of Unicode Subset Bitfield)</w:t>
            </w:r>
          </w:p>
        </w:tc>
        <w:tc>
          <w:tcPr>
            <w:tcW w:type="pct" w:w="4000"/>
          </w:tcPr>
          <w:p w:rsidRDefault="00476CD1" w:rsidP="002E5918" w:rsidR="00476CD1">
            <w:r>
              <w:t>Specifies the fourth 32 bits of the 128-bit Unicode subset bit field (USB). Subranges are ordered in accordance with the ISO 10646 standard.</w:t>
            </w:r>
          </w:p>
          <w:p w:rsidRDefault="00476CD1" w:rsidP="002E5918" w:rsidR="00476CD1"/>
          <w:p w:rsidRDefault="00476CD1" w:rsidP="002E5918" w:rsidR="00476CD1">
            <w:r>
              <w:t>[</w:t>
            </w:r>
            <w:r>
              <w:t>Example</w:t>
            </w:r>
            <w:r>
              <w:t>: Consider font information specified as follows:</w:t>
            </w:r>
          </w:p>
          <w:p w:rsidRDefault="00476CD1" w:rsidP="002E5918" w:rsidR="00476CD1"/>
          <w:p w:rsidRDefault="00476CD1" w:rsidP="002E5918" w:rsidR="00476CD1">
            <w:pPr>
              <w:pStyle w:val="c"/>
            </w:pPr>
            <w:r>
              <w:t>&lt;w:font w:name="Times New Roman"&gt;</w:t>
            </w:r>
            <w:r>
              <w:br/>
            </w:r>
            <w:r>
              <w:t xml:space="preserve">  &lt;w:sig w:usb3="00000000" … /&gt;</w:t>
            </w:r>
            <w:r>
              <w:br/>
            </w:r>
            <w:r>
              <w:t xml:space="preserve">  …</w:t>
            </w:r>
            <w:r>
              <w:br/>
            </w:r>
            <w:r>
              <w:t>&lt;/w:font&gt;</w:t>
            </w:r>
          </w:p>
          <w:p w:rsidRDefault="00476CD1" w:rsidP="002E5918" w:rsidR="00476CD1"/>
          <w:p w:rsidRDefault="00476CD1" w:rsidP="002E5918" w:rsidR="00476CD1">
            <w:r>
              <w:t xml:space="preserve">The </w:t>
            </w:r>
            <w:r>
              <w:t>usb3</w:t>
            </w:r>
            <w:r>
              <w:t xml:space="preserve"> attribute value of </w:t>
            </w:r>
            <w:r>
              <w:t>00000000</w:t>
            </w:r>
            <w:r>
              <w:t xml:space="preserve"> specifies that the first 32 bits of the bitfield are 00000000000000000000000000000000, which corresponds to no subranges.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ST_LongHexNumber</w:t>
              </w:r>
            </w:hyperlink>
            <w:r>
              <w:t/>
            </w:r>
            <w:r>
              <w:t xml:space="preserve"> simple </w:t>
            </w:r>
            <w:hyperlink r:id="rId10">
              <w:r>
                <w:rPr>
                  <w:rStyle w:val="Hyperlink"/>
                </w:rPr>
                <w:t>type</w:t>
              </w:r>
            </w:hyperlink>
            <w:r>
              <w:t xml:space="preserve"> (§</w:t>
            </w:r>
            <w:fldSimple w:instr="REF booke67a6b1c-8e17-420b-b91e-a53cce34435c \r \h">
              <w:r>
                <w:t>2.18.57</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="CT_FontSig"&gt;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="usb0" use="required" </w:t>
      </w:r>
      <w:hyperlink r:id="rId10">
        <w:r>
          <w:rPr>
            <w:rStyle w:val="Hyperlink"/>
          </w:rPr>
          <w:t>type</w:t>
        </w:r>
      </w:hyperlink>
      <w:r>
        <w:t>="</w:t>
      </w:r>
      <w:hyperlink r:id="rId9">
        <w:r>
          <w:rPr>
            <w:rStyle w:val="Hyperlink"/>
          </w:rPr>
          <w:t>ST_LongHexNumber</w:t>
        </w:r>
      </w:hyperlink>
      <w:r>
        <w:t>"/&gt;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="usb1" use="required" </w:t>
      </w:r>
      <w:hyperlink r:id="rId10">
        <w:r>
          <w:rPr>
            <w:rStyle w:val="Hyperlink"/>
          </w:rPr>
          <w:t>type</w:t>
        </w:r>
      </w:hyperlink>
      <w:r>
        <w:t>="</w:t>
      </w:r>
      <w:hyperlink r:id="rId9">
        <w:r>
          <w:rPr>
            <w:rStyle w:val="Hyperlink"/>
          </w:rPr>
          <w:t>ST_LongHexNumber</w:t>
        </w:r>
      </w:hyperlink>
      <w:r>
        <w:t>"/&gt;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="usb2" use="required" </w:t>
      </w:r>
      <w:hyperlink r:id="rId10">
        <w:r>
          <w:rPr>
            <w:rStyle w:val="Hyperlink"/>
          </w:rPr>
          <w:t>type</w:t>
        </w:r>
      </w:hyperlink>
      <w:r>
        <w:t>="</w:t>
      </w:r>
      <w:hyperlink r:id="rId9">
        <w:r>
          <w:rPr>
            <w:rStyle w:val="Hyperlink"/>
          </w:rPr>
          <w:t>ST_LongHexNumber</w:t>
        </w:r>
      </w:hyperlink>
      <w:r>
        <w:t>"/&gt;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="usb3" use="required" </w:t>
      </w:r>
      <w:hyperlink r:id="rId10">
        <w:r>
          <w:rPr>
            <w:rStyle w:val="Hyperlink"/>
          </w:rPr>
          <w:t>type</w:t>
        </w:r>
      </w:hyperlink>
      <w:r>
        <w:t>="</w:t>
      </w:r>
      <w:hyperlink r:id="rId9">
        <w:r>
          <w:rPr>
            <w:rStyle w:val="Hyperlink"/>
          </w:rPr>
          <w:t>ST_LongHexNumber</w:t>
        </w:r>
      </w:hyperlink>
      <w:r>
        <w:t>"/&gt;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="csb0" use="required" </w:t>
      </w:r>
      <w:hyperlink r:id="rId10">
        <w:r>
          <w:rPr>
            <w:rStyle w:val="Hyperlink"/>
          </w:rPr>
          <w:t>type</w:t>
        </w:r>
      </w:hyperlink>
      <w:r>
        <w:t>="</w:t>
      </w:r>
      <w:hyperlink r:id="rId9">
        <w:r>
          <w:rPr>
            <w:rStyle w:val="Hyperlink"/>
          </w:rPr>
          <w:t>ST_LongHexNumber</w:t>
        </w:r>
      </w:hyperlink>
      <w:r>
        <w:t>"/&gt;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="csb1" use="required" </w:t>
      </w:r>
      <w:hyperlink r:id="rId10">
        <w:r>
          <w:rPr>
            <w:rStyle w:val="Hyperlink"/>
          </w:rPr>
          <w:t>type</w:t>
        </w:r>
      </w:hyperlink>
      <w:r>
        <w:t>="</w:t>
      </w:r>
      <w:hyperlink r:id="rId9">
        <w:r>
          <w:rPr>
            <w:rStyle w:val="Hyperlink"/>
          </w:rPr>
          <w:t>ST_LongHexNumber</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encoding.docx" TargetMode="External"/><Relationship Id="rId9" Type="http://schemas.openxmlformats.org/officeDocument/2006/relationships/hyperlink" Target="ST_LongHexNumber.docx" TargetMode="External"/><Relationship Id="rId10" Type="http://schemas.openxmlformats.org/officeDocument/2006/relationships/hyperlink" Target="type.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