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6_1" w:id="100001"/>
      <w:bookmarkStart w:name="book973afeb8-ad9c-4c03-97da-783ba89f0a31_1" w:id="100002"/>
      <w:r>
        <w:t/>
      </w:r>
      <w:hyperlink r:id="rId8">
        <w:r>
          <w:rPr>
            <w:rStyle w:val="Hyperlink"/>
          </w:rPr>
          <w:t>snapToGrid</w:t>
        </w:r>
      </w:hyperlink>
      <w:r>
        <w:t/>
      </w:r>
      <w:r>
        <w:t xml:space="preserve"> (Use Document Grid </w:t>
      </w:r>
      <w:hyperlink r:id="rId9">
        <w:r>
          <w:rPr>
            <w:rStyle w:val="Hyperlink"/>
          </w:rPr>
          <w:t>Settings</w:t>
        </w:r>
      </w:hyperlink>
      <w:r>
        <w:t xml:space="preserve"> For Inter-Character Spacing)</w:t>
      </w:r>
      <w:bookmarkEnd w:id="100001"/>
    </w:p>
    <w:bookmarkEnd w:id="100002"/>
    <w:p w:rsidRDefault="00476CD1" w:rsidP="00476CD1" w:rsidR="00476CD1">
      <w:r>
        <w:t xml:space="preserve">This element specifies whether the current run should use the document grid characters per line settings defined in the </w:t>
      </w:r>
      <w:r>
        <w:t/>
      </w:r>
      <w:hyperlink r:id="rId10">
        <w:r>
          <w:rPr>
            <w:rStyle w:val="Hyperlink"/>
          </w:rPr>
          <w:t>docGrid</w:t>
        </w:r>
      </w:hyperlink>
      <w:r>
        <w:t/>
      </w:r>
      <w:r>
        <w:t xml:space="preserve"> element (§</w:t>
      </w:r>
      <w:fldSimple w:instr="REF bookffd4c013-6637-416f-897c-6269432565c5 \r \h">
        <w:r>
          <w:t>2.6.5</w:t>
        </w:r>
      </w:fldSimple>
      <w:r>
        <w:t xml:space="preserve">) when laying out the contents in this run. This setting determines whether the additional character </w:t>
      </w:r>
      <w:hyperlink r:id="rId11">
        <w:r>
          <w:rPr>
            <w:rStyle w:val="Hyperlink"/>
          </w:rPr>
          <w:t>pitch</w:t>
        </w:r>
      </w:hyperlink>
      <w:r>
        <w:t xml:space="preserve"> specified in the document grid shall be added to each character in this run as specified by the document grid.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the run shall use the document grid setting to lay out text when a document grid is defined for the parent section.</w:t>
      </w:r>
    </w:p>
    <w:p w:rsidRDefault="00476CD1" w:rsidP="00476CD1" w:rsidR="00476CD1">
      <w:r>
        <w:t>[</w:t>
      </w:r>
      <w:r>
        <w:t>Example</w:t>
      </w:r>
      <w:r>
        <w:t xml:space="preserve">: Consider two runs in a section with a document grid set to allow </w:t>
      </w:r>
      <w:r>
        <w:t>20</w:t>
      </w:r>
      <w:r>
        <w:t xml:space="preserve"> characters per line. This document grid would effectively specifies that an additional character </w:t>
      </w:r>
      <w:hyperlink r:id="rId11">
        <w:r>
          <w:rPr>
            <w:rStyle w:val="Hyperlink"/>
          </w:rPr>
          <w:t>pitch</w:t>
        </w:r>
      </w:hyperlink>
      <w:r>
        <w:t xml:space="preserve"> shall be added to each line in order to ensure that the resulting line contains only 20 East Asian characters.</w:t>
      </w:r>
    </w:p>
    <w:p w:rsidRDefault="00476CD1" w:rsidP="00476CD1" w:rsidR="00476CD1">
      <w:r>
        <w:t>If this property is set on the first run, but turned off on the second run, as follows: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&gt;Run One&lt;/w: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snapToGrid</w:t>
        </w:r>
      </w:hyperlink>
      <w:r>
        <w:t xml:space="preserve"> w:val="off" /&gt;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&gt;Run Two&lt;/w: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resulting document shall have the required additional character </w:t>
      </w:r>
      <w:hyperlink r:id="rId11">
        <w:r>
          <w:rPr>
            <w:rStyle w:val="Hyperlink"/>
          </w:rPr>
          <w:t>pitch</w:t>
        </w:r>
      </w:hyperlink>
      <w:r>
        <w:t xml:space="preserve"> added to each character in run one, but zero additional character </w:t>
      </w:r>
      <w:hyperlink r:id="rId11">
        <w:r>
          <w:rPr>
            <w:rStyle w:val="Hyperlink"/>
          </w:rPr>
          <w:t>pitch</w:t>
        </w:r>
      </w:hyperlink>
      <w:r>
        <w:t xml:space="preserve"> added to each character in run two, since the </w:t>
      </w:r>
      <w:r>
        <w:t/>
      </w:r>
      <w:hyperlink r:id="rId8">
        <w:r>
          <w:rPr>
            <w:rStyle w:val="Hyperlink"/>
          </w:rPr>
          <w:t>snapToGrid</w:t>
        </w:r>
      </w:hyperlink>
      <w:r>
        <w:t/>
      </w:r>
      <w:r>
        <w:t xml:space="preserve"> property is turned </w:t>
      </w:r>
      <w:r>
        <w:t>off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napToGrid.docx" TargetMode="External"/><Relationship Id="rId9" Type="http://schemas.openxmlformats.org/officeDocument/2006/relationships/hyperlink" Target="Settings.docx" TargetMode="External"/><Relationship Id="rId10" Type="http://schemas.openxmlformats.org/officeDocument/2006/relationships/hyperlink" Target="docGrid.docx" TargetMode="External"/><Relationship Id="rId11" Type="http://schemas.openxmlformats.org/officeDocument/2006/relationships/hyperlink" Target="pitch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