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70_1" w:id="100001"/>
      <w:bookmarkStart w:name="book58c09876-0b13-46a8-8f62-bc6aa6334b2d_1" w:id="100002"/>
      <w:r>
        <w:t/>
      </w:r>
      <w:hyperlink r:id="rId8">
        <w:r>
          <w:rPr>
            <w:rStyle w:val="Hyperlink"/>
          </w:rPr>
          <w:t>tblLayout</w:t>
        </w:r>
      </w:hyperlink>
      <w:r>
        <w:t/>
      </w:r>
      <w:r>
        <w:t xml:space="preserve"> (Table Layout)</w:t>
      </w:r>
      <w:bookmarkEnd w:id="100001"/>
    </w:p>
    <w:bookmarkEnd w:id="100002"/>
    <w:p w:rsidRDefault="00476CD1" w:rsidP="00476CD1" w:rsidR="00476CD1">
      <w:r>
        <w:t xml:space="preserve">This element specifies the algorithm which shall be used to lay out the contents of this </w:t>
      </w:r>
      <w:hyperlink r:id="rId9">
        <w:r>
          <w:rPr>
            <w:rStyle w:val="Hyperlink"/>
          </w:rPr>
          <w:t>table</w:t>
        </w:r>
      </w:hyperlink>
      <w:r>
        <w:t xml:space="preserve"> within the document. When a </w:t>
      </w:r>
      <w:hyperlink r:id="rId9">
        <w:r>
          <w:rPr>
            <w:rStyle w:val="Hyperlink"/>
          </w:rPr>
          <w:t>table</w:t>
        </w:r>
      </w:hyperlink>
      <w:r>
        <w:t xml:space="preserve"> is displayed in a document, it can either be displayed using a fixed width or autofit layout algorithm (each discussed in the simple </w:t>
      </w:r>
      <w:hyperlink r:id="rId10">
        <w:r>
          <w:rPr>
            <w:rStyle w:val="Hyperlink"/>
          </w:rPr>
          <w:t>type</w:t>
        </w:r>
      </w:hyperlink>
      <w:r>
        <w:t xml:space="preserve"> referenced by the </w:t>
      </w:r>
      <w:r>
        <w:t>val</w:t>
      </w:r>
      <w:r>
        <w:t xml:space="preserve"> attribute).</w:t>
      </w:r>
    </w:p>
    <w:p w:rsidRDefault="00476CD1" w:rsidP="00476CD1" w:rsidR="00476CD1">
      <w:r>
        <w:t xml:space="preserve">If this element is omitted, then the value of this element shall be assumed to be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which shall use the fixed width </w:t>
      </w:r>
      <w:hyperlink r:id="rId9">
        <w:r>
          <w:rPr>
            <w:rStyle w:val="Hyperlink"/>
          </w:rPr>
          <w:t>table</w:t>
        </w:r>
      </w:hyperlink>
      <w:r>
        <w:t xml:space="preserve"> layout algorithm. This requirement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tblLayout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="fixed"/&gt;</w:t>
      </w:r>
      <w:r>
        <w:br/>
      </w:r>
      <w:r>
        <w:t>&lt;/w:</w:t>
      </w:r>
      <w:hyperlink r:id="rId11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tblLayout</w:t>
        </w:r>
      </w:hyperlink>
      <w:r>
        <w:t/>
      </w:r>
      <w:r>
        <w:t xml:space="preserve"> element specifies that the </w:t>
      </w:r>
      <w:hyperlink r:id="rId9">
        <w:r>
          <w:rPr>
            <w:rStyle w:val="Hyperlink"/>
          </w:rPr>
          <w:t>table</w:t>
        </w:r>
      </w:hyperlink>
      <w:r>
        <w:t xml:space="preserve"> shall use the </w:t>
      </w:r>
      <w:r>
        <w:t>fixed</w:t>
      </w:r>
      <w:r>
        <w:t xml:space="preserve"> layout algorithm.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Layout Setting)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algorithm which shall be used to lay out the contents of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(see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definition for details on each algorithm used).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which shall use the AutoFit width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layout algorithm. This requirement is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tblLayout</w:t>
              </w:r>
            </w:hyperlink>
            <w:r>
              <w:t xml:space="preserve"> w: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>="auto"/&gt;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tblPr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8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element specifies that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shall use the </w:t>
            </w:r>
            <w:r>
              <w:t>auto</w:t>
            </w:r>
            <w:r>
              <w:t xml:space="preserve"> layout algorithm.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ST_TblLayoutType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90a0f723-6218-465e-9280-b42c3a5c2d5b \r \h">
              <w:r>
                <w:t>2.18.94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="CT_TblLayoutType"&gt;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type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ST_TblLayoutType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Layout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Pr.docx" TargetMode="External"/><Relationship Id="rId12" Type="http://schemas.openxmlformats.org/officeDocument/2006/relationships/hyperlink" Target="ST_TblLayoutTyp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