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2_1" w:id="100001"/>
      <w:bookmarkStart w:name="bookeac0aa19-c777-43ce-afbd-34c92e4239c6_1" w:id="100002"/>
      <w:r>
        <w:t>u</w:t>
      </w:r>
      <w:r>
        <w:t xml:space="preserve"> (Underline)</w:t>
      </w:r>
      <w:bookmarkEnd w:id="100001"/>
    </w:p>
    <w:bookmarkEnd w:id="100002"/>
    <w:p w:rsidRDefault="00476CD1" w:rsidP="00476CD1" w:rsidR="00476CD1">
      <w:r>
        <w:t xml:space="preserve">This element specifies that the contents of this run should be displayed along with an underline appearing directly below the character height (less all </w:t>
      </w:r>
      <w:hyperlink r:id="rId8">
        <w:r>
          <w:rPr>
            <w:rStyle w:val="Hyperlink"/>
          </w:rPr>
          <w:t>spacing</w:t>
        </w:r>
      </w:hyperlink>
      <w:r>
        <w:t xml:space="preserve"> above and below the characters on the line). 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an underline shall not be applied to the contents of this run.</w:t>
      </w:r>
    </w:p>
    <w:p w:rsidRDefault="00476CD1" w:rsidP="00476CD1" w:rsidR="00476CD1">
      <w:r>
        <w:t>[</w:t>
      </w:r>
      <w:r>
        <w:t>Example</w:t>
      </w:r>
      <w:r>
        <w:t>: Consider a run of text which shall have a double underline explicitly turned on for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&lt;w:u w:val="double"/&gt;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an underline using the </w:t>
      </w:r>
      <w:r>
        <w:t>u</w:t>
      </w:r>
      <w:r>
        <w:t xml:space="preserve"> property. The </w:t>
      </w:r>
      <w:r>
        <w:t>val</w:t>
      </w:r>
      <w:r>
        <w:t xml:space="preserve"> of that underline is </w:t>
      </w:r>
      <w:r>
        <w:t>double</w:t>
      </w:r>
      <w:r>
        <w:t xml:space="preserve">, so the style of the underline on this run shall be a double line.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(Underline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for the underlining on this run.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underline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underline specifies the use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with value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&lt;w:un …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="auto"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therefore may be automatically be modified by a consumer as appropriate, for example, in order to ensure that the underline can be distinguished against the page's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(Underline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current underline.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 part,which allows for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themeColor</w:t>
            </w:r>
            <w:r>
              <w:t xml:space="preserve"> attribute is specified, then the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is ignored for this underline.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underlined run of text whose underline should be displayed using the </w:t>
            </w:r>
            <w:r>
              <w:t>accent3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from the document’s Theme part. This requirement would be specified as follows in the resulting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&lt;w:u … w:themeColor=”accent3”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themeColor</w:t>
            </w:r>
            <w:r>
              <w:t xml:space="preserve"> attribute specifies that the underline shall use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(Underline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underline.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underline.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5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 of 40% applied to a underline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themeShade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underline's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&lt;w:u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="943634" w:themeColor="accent2" w:themeShade="BF"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(Underline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underline's contents.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run.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5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an underline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underline formatting's WordprocessingML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&lt;w:u …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="95B3D7" w:themeColor="accent2"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(Underline Style)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pattern which shall be used to create the underline applied beneath the text in this run.</w:t>
            </w:r>
          </w:p>
          <w:p w:rsidRDefault="00476CD1" w:rsidP="002E5918" w:rsidR="00476CD1"/>
          <w:p w:rsidRDefault="00476CD1" w:rsidP="002E5918" w:rsidR="00476CD1">
            <w:r>
              <w:t xml:space="preserve">Each of these possible patterns are shown in the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run of text which shall have a double underline explicitly turned on for the contents of the run. This constraint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  <w:r>
              <w:br/>
            </w:r>
            <w:r>
              <w:t xml:space="preserve">  &lt;w:u w:val="double"/&gt;</w:t>
            </w:r>
            <w:r>
              <w:br/>
            </w:r>
            <w:r>
              <w:t>&lt;/w: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of the underline on this run is </w:t>
            </w:r>
            <w:r>
              <w:t>double</w:t>
            </w:r>
            <w:r>
              <w:t xml:space="preserve">, so the style of the underline on this run shall be a double line.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ST_Underline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3c295c3b-8def-4178-8680-9a8b38a9cd57 \r \h">
              <w:r>
                <w:t>2.18.107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="CT_Underline"&gt;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ST_Underline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color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="themeColor"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="themeTint"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="themeShade"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pacing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color.docx" TargetMode="External"/><Relationship Id="rId11" Type="http://schemas.openxmlformats.org/officeDocument/2006/relationships/hyperlink" Target="background.docx" TargetMode="External"/><Relationship Id="rId12" Type="http://schemas.openxmlformats.org/officeDocument/2006/relationships/hyperlink" Target="ST_HexColo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ThemeColor.docx" TargetMode="External"/><Relationship Id="rId15" Type="http://schemas.openxmlformats.org/officeDocument/2006/relationships/hyperlink" Target="encoding.docx" TargetMode="External"/><Relationship Id="rId16" Type="http://schemas.openxmlformats.org/officeDocument/2006/relationships/hyperlink" Target="format.docx" TargetMode="External"/><Relationship Id="rId17" Type="http://schemas.openxmlformats.org/officeDocument/2006/relationships/hyperlink" Target="ST_UcharHexNumber.docx" TargetMode="External"/><Relationship Id="rId18" Type="http://schemas.openxmlformats.org/officeDocument/2006/relationships/hyperlink" Target="ST_Underline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