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06_1" w:id="100001"/>
      <w:bookmarkStart w:name="bookb6a9029f-dbf3-4d81-b153-9de5a95c716e_1" w:id="100002"/>
      <w:r>
        <w:t>uiPriority</w:t>
      </w:r>
      <w:r>
        <w:t xml:space="preserve"> (Optional User Interface Sorting Order)</w:t>
      </w:r>
      <w:bookmarkEnd w:id="100001"/>
    </w:p>
    <w:bookmarkEnd w:id="100002"/>
    <w:p w:rsidRDefault="00476CD1" w:rsidP="00476CD1" w:rsidR="00476CD1">
      <w:r>
        <w:t xml:space="preserve">This element specifies a number which may be used to sort the set of style definitions in a user interface when this document is loaded by an application and the recommended setting is specified in the </w:t>
      </w:r>
      <w:r>
        <w:t/>
      </w:r>
      <w:hyperlink r:id="rId8">
        <w:r>
          <w:rPr>
            <w:rStyle w:val="Hyperlink"/>
          </w:rPr>
          <w:t>stylePaneSortMethod</w:t>
        </w:r>
      </w:hyperlink>
      <w:r>
        <w:t/>
      </w:r>
      <w:r>
        <w:t xml:space="preserve"> element (§</w:t>
      </w:r>
      <w:fldSimple w:instr="REF book478da660-39f4-4fc6-98ed-7fee2511eca8 \r \h">
        <w:r>
          <w:t>2.15.1.87</w:t>
        </w:r>
      </w:fldSimple>
      <w:r>
        <w:t xml:space="preserve">). If this element is set, then this priority shall be used to sort all available </w:t>
      </w:r>
      <w:hyperlink r:id="rId9">
        <w:r>
          <w:rPr>
            <w:rStyle w:val="Hyperlink"/>
          </w:rPr>
          <w:t>styles</w:t>
        </w:r>
      </w:hyperlink>
      <w:r>
        <w:t xml:space="preserve"> in ascending value order.</w:t>
      </w:r>
    </w:p>
    <w:p w:rsidRDefault="00476CD1" w:rsidP="00476CD1" w:rsidR="00476CD1">
      <w:r>
        <w:t>If this element is omitted, then the style shall not have an associated priority value and shall be sorted to the end of the list of style definitions (more or less equivalent to a priority value of infinity) when the recommended sort order setting is specified.</w:t>
      </w:r>
    </w:p>
    <w:p w:rsidRDefault="00476CD1" w:rsidP="00476CD1" w:rsidR="00476CD1">
      <w:r>
        <w:t>[</w:t>
      </w:r>
      <w:r>
        <w:t>Example</w:t>
      </w:r>
      <w:r>
        <w:t xml:space="preserve">: Consider a style with a primary name of </w:t>
      </w:r>
      <w:r>
        <w:t>Comment Style</w:t>
      </w:r>
      <w:r>
        <w:t xml:space="preserve"> that should have an associated priority value of ten. This requirement would be specified using the following WordprocessingML:</w:t>
      </w:r>
    </w:p>
    <w:p w:rsidRDefault="00476CD1" w:rsidP="00476CD1" w:rsidR="00476CD1">
      <w:pPr>
        <w:pStyle w:val="c"/>
      </w:pPr>
      <w:r>
        <w:t>&lt;w:style … w:styleId="CStyle"&gt;</w:t>
      </w:r>
      <w:r>
        <w:br/>
      </w:r>
      <w:r>
        <w:t xml:space="preserve">  &lt;w:name w:val="Comment Style"/&gt;</w:t>
      </w:r>
      <w:r>
        <w:br/>
      </w:r>
      <w:r>
        <w:t xml:space="preserve">  &lt;w:uiPriority w:val="10"/&gt;</w:t>
      </w:r>
      <w:r>
        <w:br/>
      </w:r>
      <w:r>
        <w:t xml:space="preserve">  …</w:t>
      </w:r>
      <w:r>
        <w:br/>
      </w:r>
      <w:r>
        <w:t>&lt;/w:style&gt;</w:t>
      </w:r>
    </w:p>
    <w:p w:rsidRDefault="00476CD1" w:rsidP="00476CD1" w:rsidR="00476CD1">
      <w:r>
        <w:t xml:space="preserve">The </w:t>
      </w:r>
      <w:r>
        <w:t>uiPriority</w:t>
      </w:r>
      <w:r>
        <w:t xml:space="preserve"> element specifies that this style definition should be sorted into the list of </w:t>
      </w:r>
      <w:hyperlink r:id="rId9">
        <w:r>
          <w:rPr>
            <w:rStyle w:val="Hyperlink"/>
          </w:rPr>
          <w:t>styles</w:t>
        </w:r>
      </w:hyperlink>
      <w:r>
        <w:t xml:space="preserve"> using a value of </w:t>
      </w:r>
      <w:r>
        <w:t>10</w:t>
      </w:r>
      <w:r>
        <w:t xml:space="preserve"> when the </w:t>
      </w:r>
      <w:hyperlink r:id="rId9">
        <w:r>
          <w:rPr>
            <w:rStyle w:val="Hyperlink"/>
          </w:rPr>
          <w:t>styles</w:t>
        </w:r>
      </w:hyperlink>
      <w:r>
        <w:t xml:space="preserve"> are listed in recommended order using the </w:t>
      </w:r>
      <w:r>
        <w:t/>
      </w:r>
      <w:hyperlink r:id="rId8">
        <w:r>
          <w:rPr>
            <w:rStyle w:val="Hyperlink"/>
          </w:rPr>
          <w:t>stylePaneSortMethod</w:t>
        </w:r>
      </w:hyperlink>
      <w:r>
        <w:t/>
      </w:r>
      <w:r>
        <w:t xml:space="preserve"> element (§</w:t>
      </w:r>
      <w:fldSimple w:instr="REF book478da660-39f4-4fc6-98ed-7fee2511eca8 \r \h">
        <w:r>
          <w:t>2.15.1.87</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1">
              <w:r>
                <w:rPr>
                  <w:rStyle w:val="Hyperlink"/>
                </w:rPr>
                <w:t>type</w:t>
              </w:r>
            </w:hyperlink>
            <w:r>
              <w:t xml:space="preserve"> </w:t>
            </w:r>
            <w:r>
              <w:t/>
            </w:r>
            <w:hyperlink r:id="rId12">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ST_DecimalNumber</w:t>
              </w:r>
            </w:hyperlink>
            <w:r>
              <w:t/>
            </w:r>
            <w:r>
              <w:t xml:space="preserve"> simple </w:t>
            </w:r>
            <w:hyperlink r:id="rId11">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1">
        <w:r>
          <w:rPr>
            <w:rStyle w:val="Hyperlink"/>
          </w:rPr>
          <w:t>type</w:t>
        </w:r>
      </w:hyperlink>
      <w:r>
        <w:t>="</w:t>
      </w:r>
      <w:hyperlink r:id="rId12">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ylePaneSortMethod.docx" TargetMode="External"/><Relationship Id="rId9" Type="http://schemas.openxmlformats.org/officeDocument/2006/relationships/hyperlink" Target="styles.docx" TargetMode="External"/><Relationship Id="rId10" Type="http://schemas.openxmlformats.org/officeDocument/2006/relationships/hyperlink" Target="XML.docx" TargetMode="External"/><Relationship Id="rId11" Type="http://schemas.openxmlformats.org/officeDocument/2006/relationships/hyperlink" Target="type.docx" TargetMode="External"/><Relationship Id="rId12" Type="http://schemas.openxmlformats.org/officeDocument/2006/relationships/hyperlink" Target="ST_DecimalNumber.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