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326_1" w:id="100001"/>
      <w:bookmarkStart w:name="book626d1cd0-d904-4226-af55-58633bd2237c_1" w:id="100002"/>
      <w:r>
        <w:t>useAltKinsokuLineBreakRules</w:t>
      </w:r>
      <w:r>
        <w:t xml:space="preserve"> (Use Alternate Set of East Asian Line Breaking Rules)</w:t>
      </w:r>
      <w:bookmarkEnd w:id="100001"/>
    </w:p>
    <w:bookmarkEnd w:id="100002"/>
    <w:p w:rsidRDefault="00476CD1" w:rsidP="00476CD1" w:rsidR="00476CD1">
      <w:r>
        <w:t xml:space="preserve">This element specifies an alternate set of characters which may be used to determine which characters can begin and/or end a line when </w:t>
      </w:r>
      <w:hyperlink r:id="rId8">
        <w:r>
          <w:rPr>
            <w:rStyle w:val="Hyperlink"/>
          </w:rPr>
          <w:t>kinsoku</w:t>
        </w:r>
      </w:hyperlink>
      <w:r>
        <w:t xml:space="preserve"> line breaking rules are </w:t>
      </w:r>
      <w:hyperlink r:id="rId9">
        <w:r>
          <w:rPr>
            <w:rStyle w:val="Hyperlink"/>
          </w:rPr>
          <w:t>enabled</w:t>
        </w:r>
      </w:hyperlink>
      <w:r>
        <w:t xml:space="preserve"> using the </w:t>
      </w:r>
      <w:r>
        <w:t/>
      </w:r>
      <w:hyperlink r:id="rId8">
        <w:r>
          <w:rPr>
            <w:rStyle w:val="Hyperlink"/>
          </w:rPr>
          <w:t>kinsoku</w:t>
        </w:r>
      </w:hyperlink>
      <w:r>
        <w:t/>
      </w:r>
      <w:r>
        <w:t xml:space="preserve"> element (§</w:t>
      </w:r>
      <w:fldSimple w:instr="REF bookd774f7d9-702f-4a85-a65f-7b5b9e69f4a6 \r \h">
        <w:r>
          <w:t>2.3.1.16</w:t>
        </w:r>
      </w:fldSimple>
      <w:r>
        <w:t xml:space="preserve">). </w:t>
      </w:r>
    </w:p>
    <w:p w:rsidRDefault="00476CD1" w:rsidP="00476CD1" w:rsidR="00476CD1">
      <w:r>
        <w:t xml:space="preserve">Typically, the characters used to determine which characters shall not end a line are those listed by the </w:t>
      </w:r>
      <w:r>
        <w:t/>
      </w:r>
      <w:hyperlink r:id="rId8">
        <w:r>
          <w:rPr>
            <w:rStyle w:val="Hyperlink"/>
          </w:rPr>
          <w:t>kinsoku</w:t>
        </w:r>
      </w:hyperlink>
      <w:r>
        <w:t/>
      </w:r>
      <w:r>
        <w:t xml:space="preserve"> element in the paragraph properties subclause of this document.</w:t>
      </w:r>
      <w:r>
        <w:t xml:space="preserve"> </w:t>
      </w:r>
      <w:r>
        <w:t xml:space="preserve">This element, when present with a </w:t>
      </w:r>
      <w:r>
        <w:t>val</w:t>
      </w:r>
      <w:r>
        <w:t xml:space="preserve"> attribute value of </w:t>
      </w:r>
      <w:r>
        <w:t>true</w:t>
      </w:r>
      <w:r>
        <w:t xml:space="preserve"> (or equivalent), specifies that the following settings shall be used instead (for brevity, only those settings which are different are listed below):</w:t>
      </w:r>
    </w:p>
    <w:p w:rsidRDefault="00476CD1" w:rsidP="00476CD1" w:rsidR="00476CD1">
      <w:r>
        <w:t>Chinese (Simplified)</w:t>
      </w:r>
    </w:p>
    <w:p w:rsidRDefault="00476CD1" w:rsidP="00476CD1" w:rsidR="00476CD1">
      <w:pPr>
        <w:pStyle w:val="ListBullet"/>
        <w:numPr>
          <w:ilvl w:val="0"/>
          <w:numId w:val="187"/>
        </w:numPr>
      </w:pPr>
      <w:r>
        <w:t xml:space="preserve">Cannot </w:t>
      </w:r>
      <w:hyperlink r:id="rId10">
        <w:r>
          <w:rPr>
            <w:rStyle w:val="Hyperlink"/>
          </w:rPr>
          <w:t>start</w:t>
        </w:r>
      </w:hyperlink>
      <w:r>
        <w:t xml:space="preserve"> a line:</w:t>
      </w:r>
      <w:r>
        <w:br/>
      </w:r>
      <w:r>
        <w:t>!),.:;?]}¨·ˇˉ―‖’”…∶、。〃々〉》」』】〕〗！＂＇），．：；？］｀｜｝～￠</w:t>
      </w:r>
    </w:p>
    <w:p w:rsidRDefault="00476CD1" w:rsidP="00476CD1" w:rsidR="00476CD1">
      <w:pPr>
        <w:pStyle w:val="ListBullet"/>
        <w:rPr>
          <w:rFonts w:cs="Arial Unicode MS" w:eastAsia="Arial Unicode MS" w:hAnsi="Arial Unicode MS" w:ascii="Arial Unicode MS"/>
        </w:rPr>
      </w:pPr>
      <w:r>
        <w:t>Cannot end a line:</w:t>
      </w:r>
      <w:r>
        <w:br/>
      </w:r>
      <w:r>
        <w:t>([{·‘“〈《「『【〔〖（．［｛￡￥</w:t>
      </w:r>
    </w:p>
    <w:p w:rsidRDefault="00476CD1" w:rsidP="00476CD1" w:rsidR="00476CD1">
      <w:r>
        <w:t>Chinese (Traditional)</w:t>
      </w:r>
    </w:p>
    <w:p w:rsidRDefault="00476CD1" w:rsidP="00476CD1" w:rsidR="00476CD1">
      <w:pPr>
        <w:pStyle w:val="ListBullet"/>
        <w:rPr>
          <w:rFonts w:cs="Arial Unicode MS" w:eastAsia="Arial Unicode MS" w:hAnsi="Arial Unicode MS" w:ascii="Arial Unicode MS"/>
        </w:rPr>
      </w:pPr>
      <w:r>
        <w:t xml:space="preserve">Cannot </w:t>
      </w:r>
      <w:hyperlink r:id="rId10">
        <w:r>
          <w:rPr>
            <w:rStyle w:val="Hyperlink"/>
          </w:rPr>
          <w:t>start</w:t>
        </w:r>
      </w:hyperlink>
      <w:r>
        <w:t xml:space="preserve"> a line:</w:t>
      </w:r>
      <w:r>
        <w:br/>
      </w:r>
      <w:r>
        <w:t>!),.:;?]}¢·–—’”•</w:t>
      </w:r>
      <w:r>
        <w:t>‥</w:t>
      </w:r>
      <w:r>
        <w:t>…</w:t>
      </w:r>
      <w:r>
        <w:t>‧′╴、。〉》」』】〕〞︰︱︳︴︶︸︺︼︾﹀﹂﹄﹏﹐﹑﹒﹔﹕﹖﹗﹚﹜﹞！），．：；？｜｝､</w:t>
      </w:r>
    </w:p>
    <w:p w:rsidRDefault="00476CD1" w:rsidP="00476CD1" w:rsidR="00476CD1">
      <w:r>
        <w:t>Korean</w:t>
      </w:r>
    </w:p>
    <w:p w:rsidRDefault="00476CD1" w:rsidP="00476CD1" w:rsidR="00476CD1">
      <w:pPr>
        <w:pStyle w:val="ListBullet"/>
        <w:rPr>
          <w:rFonts w:cs="Arial Unicode MS" w:eastAsia="Arial Unicode MS" w:hAnsi="Arial Unicode MS" w:ascii="Arial Unicode MS"/>
        </w:rPr>
      </w:pPr>
      <w:r>
        <w:t>Cannot end a line:</w:t>
      </w:r>
      <w:r>
        <w:br/>
      </w:r>
      <w:r>
        <w:t>([\{£¥‘“</w:t>
      </w:r>
      <w:r>
        <w:t>〈《「『【〔＄（［｛￦</w:t>
      </w:r>
    </w:p>
    <w:p w:rsidRDefault="00476CD1" w:rsidP="00476CD1" w:rsidR="00476CD1">
      <w:r>
        <w:t>[</w:t>
      </w:r>
      <w:r>
        <w:t>Example</w:t>
      </w:r>
      <w:r>
        <w:t>: Consider a line of text in a WordprocessingML document within a paragraph marked as Chinese (Simplified) which begins with a % symbol, as follows:</w:t>
      </w:r>
    </w:p>
    <w:p w:rsidRDefault="00476CD1" w:rsidP="00476CD1" w:rsidR="00476CD1">
      <w:pPr>
        <w:pStyle w:val="c"/>
      </w:pPr>
      <w:r>
        <w:t>%...</w:t>
      </w:r>
    </w:p>
    <w:p w:rsidRDefault="00476CD1" w:rsidP="00476CD1" w:rsidR="00476CD1">
      <w:r>
        <w:t xml:space="preserve">Typically, the </w:t>
      </w:r>
      <w:hyperlink r:id="rId8">
        <w:r>
          <w:rPr>
            <w:rStyle w:val="Hyperlink"/>
          </w:rPr>
          <w:t>kinsoku</w:t>
        </w:r>
      </w:hyperlink>
      <w:r>
        <w:t xml:space="preserve"> settings for Chinese (Simplified) do not allow this character to begin a line, so the character before that symbol would be moved down onto this line:</w:t>
      </w:r>
    </w:p>
    <w:p w:rsidRDefault="00476CD1" w:rsidP="00476CD1" w:rsidR="00476CD1">
      <w:pPr>
        <w:pStyle w:val="c"/>
      </w:pPr>
      <w:r>
        <w:t>〖</w:t>
      </w:r>
      <w:r>
        <w:t>%...</w:t>
      </w:r>
    </w:p>
    <w:p w:rsidRDefault="00476CD1" w:rsidP="00476CD1" w:rsidR="00476CD1">
      <w:r>
        <w:t>However, if this compatibility setting is turned on: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compat</w:t>
        </w:r>
      </w:hyperlink>
      <w:r>
        <w:t>&gt;</w:t>
      </w:r>
      <w:r>
        <w:br/>
      </w:r>
      <w:r>
        <w:t xml:space="preserve">  &lt;w:useAltKinsokuLineBreakRules /&gt;</w:t>
      </w:r>
      <w:r>
        <w:br/>
      </w:r>
      <w:r>
        <w:t>&lt;/w:</w:t>
      </w:r>
      <w:hyperlink r:id="rId11">
        <w:r>
          <w:rPr>
            <w:rStyle w:val="Hyperlink"/>
          </w:rPr>
          <w:t>compat</w:t>
        </w:r>
      </w:hyperlink>
      <w:r>
        <w:t>&gt;</w:t>
      </w:r>
    </w:p>
    <w:p w:rsidRDefault="00476CD1" w:rsidP="00476CD1" w:rsidR="00476CD1">
      <w:r>
        <w:t xml:space="preserve">Then the alternate </w:t>
      </w:r>
      <w:hyperlink r:id="rId8">
        <w:r>
          <w:rPr>
            <w:rStyle w:val="Hyperlink"/>
          </w:rPr>
          <w:t>kinsoku</w:t>
        </w:r>
      </w:hyperlink>
      <w:r>
        <w:t xml:space="preserve"> rules are in place, which do not prevent the % character from beginning the new line, resulting in the following output:</w:t>
      </w:r>
    </w:p>
    <w:p w:rsidRDefault="00476CD1" w:rsidP="00476CD1" w:rsidR="00476CD1">
      <w:pPr>
        <w:pStyle w:val="c"/>
      </w:pPr>
      <w:r>
        <w:t>%...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compat</w:t>
              </w:r>
            </w:hyperlink>
            <w:r>
              <w:t/>
            </w:r>
            <w:r>
              <w:t xml:space="preserve"> (§</w:t>
            </w:r>
            <w:fldSimple w:instr="REF book2b5d1344-a5a4-45dd-9fc0-8b36905a2a7a \r \h">
              <w:r>
                <w:t>2.15.3.9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12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3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4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2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5">
        <w:r>
          <w:rPr>
            <w:rStyle w:val="Hyperlink"/>
          </w:rPr>
          <w:t>name</w:t>
        </w:r>
      </w:hyperlink>
      <w:r>
        <w:t xml:space="preserve">="val" </w:t>
      </w:r>
      <w:hyperlink r:id="rId14">
        <w:r>
          <w:rPr>
            <w:rStyle w:val="Hyperlink"/>
          </w:rPr>
          <w:t>type</w:t>
        </w:r>
      </w:hyperlink>
      <w:r>
        <w:t>="</w:t>
      </w:r>
      <w:hyperlink r:id="rId13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  <w:num w:numId="172">
    <w:abstractNumId w:val="4"/>
    <w:lvlOverride w:ilvl="0">
      <w:startOverride w:val="509"/>
    </w:lvlOverride>
  </w:num>
  <w:num w:numId="173">
    <w:abstractNumId w:val="4"/>
    <w:lvlOverride w:ilvl="0">
      <w:startOverride w:val="511"/>
    </w:lvlOverride>
  </w:num>
  <w:num w:numId="174">
    <w:abstractNumId w:val="4"/>
    <w:lvlOverride w:ilvl="0">
      <w:startOverride w:val="515"/>
    </w:lvlOverride>
  </w:num>
  <w:num w:numId="175">
    <w:abstractNumId w:val="4"/>
    <w:lvlOverride w:ilvl="0">
      <w:startOverride w:val="520"/>
    </w:lvlOverride>
  </w:num>
  <w:num w:numId="176">
    <w:abstractNumId w:val="4"/>
    <w:lvlOverride w:ilvl="0">
      <w:startOverride w:val="525"/>
    </w:lvlOverride>
  </w:num>
  <w:num w:numId="177">
    <w:abstractNumId w:val="4"/>
    <w:lvlOverride w:ilvl="0">
      <w:startOverride w:val="526"/>
    </w:lvlOverride>
  </w:num>
  <w:num w:numId="178">
    <w:abstractNumId w:val="4"/>
    <w:lvlOverride w:ilvl="0">
      <w:startOverride w:val="533"/>
    </w:lvlOverride>
  </w:num>
  <w:num w:numId="179">
    <w:abstractNumId w:val="4"/>
    <w:lvlOverride w:ilvl="0">
      <w:startOverride w:val="535"/>
    </w:lvlOverride>
  </w:num>
  <w:num w:numId="180">
    <w:abstractNumId w:val="4"/>
    <w:lvlOverride w:ilvl="0">
      <w:startOverride w:val="537"/>
    </w:lvlOverride>
  </w:num>
  <w:num w:numId="181">
    <w:abstractNumId w:val="4"/>
    <w:lvlOverride w:ilvl="0">
      <w:startOverride w:val="539"/>
    </w:lvlOverride>
  </w:num>
  <w:num w:numId="182">
    <w:abstractNumId w:val="4"/>
    <w:lvlOverride w:ilvl="0">
      <w:startOverride w:val="541"/>
    </w:lvlOverride>
  </w:num>
  <w:num w:numId="183">
    <w:abstractNumId w:val="4"/>
    <w:lvlOverride w:ilvl="0">
      <w:startOverride w:val="543"/>
    </w:lvlOverride>
  </w:num>
  <w:num w:numId="184">
    <w:abstractNumId w:val="4"/>
    <w:lvlOverride w:ilvl="0">
      <w:startOverride w:val="545"/>
    </w:lvlOverride>
  </w:num>
  <w:num w:numId="185">
    <w:abstractNumId w:val="4"/>
    <w:lvlOverride w:ilvl="0">
      <w:startOverride w:val="549"/>
    </w:lvlOverride>
  </w:num>
  <w:num w:numId="186">
    <w:abstractNumId w:val="4"/>
    <w:lvlOverride w:ilvl="0">
      <w:startOverride w:val="551"/>
    </w:lvlOverride>
  </w:num>
  <w:num w:numId="187">
    <w:abstractNumId w:val="4"/>
    <w:lvlOverride w:ilvl="0">
      <w:startOverride w:val="553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kinsoku.docx" TargetMode="External"/><Relationship Id="rId9" Type="http://schemas.openxmlformats.org/officeDocument/2006/relationships/hyperlink" Target="enabled.docx" TargetMode="External"/><Relationship Id="rId10" Type="http://schemas.openxmlformats.org/officeDocument/2006/relationships/hyperlink" Target="start.docx" TargetMode="External"/><Relationship Id="rId11" Type="http://schemas.openxmlformats.org/officeDocument/2006/relationships/hyperlink" Target="compat.docx" TargetMode="External"/><Relationship Id="rId12" Type="http://schemas.openxmlformats.org/officeDocument/2006/relationships/hyperlink" Target="XML.docx" TargetMode="External"/><Relationship Id="rId13" Type="http://schemas.openxmlformats.org/officeDocument/2006/relationships/hyperlink" Target="ST_OnOff.docx" TargetMode="External"/><Relationship Id="rId14" Type="http://schemas.openxmlformats.org/officeDocument/2006/relationships/hyperlink" Target="type.docx" TargetMode="External"/><Relationship Id="rId15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