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Возможные вопросы и ответы к докладу</w:t>
      </w:r>
    </w:p>
    <w:p>
      <w:pPr>
        <w:jc w:val="center"/>
      </w:pPr>
      <w:r>
        <w:rPr>
          <w:i/>
          <w:sz w:val="22"/>
        </w:rPr>
        <w:t>К статье Tejeda-Muñoz et al., iScience 25, 104123 (2022). DOI: 10.1016/j.isci.2022.104123</w:t>
      </w:r>
    </w:p>
    <w:p/>
    <w:p>
      <w:r>
        <w:rPr>
          <w:b/>
          <w:sz w:val="26"/>
        </w:rPr>
        <w:t>Вопрос 1. Почему авторы уверены, что наблюдаемый эффект — это эндоцитоз, а не деградация ITGβ1 в мембране?</w:t>
      </w:r>
    </w:p>
    <w:p>
      <w:pPr>
        <w:spacing w:after="200"/>
      </w:pPr>
      <w:r>
        <w:rPr>
          <w:sz w:val="26"/>
        </w:rPr>
        <w:t>Ответ. Ключевых аргументов два. Первый — метод поверхностного биотинилирования: биотин-метка ставится только на белки, доступные снаружи. После Wnt3a количество биотинилированного ITGβ1 падает, а общий уровень ITGβ1 в лизате остаётся прежним — значит белок не деградирует, а уходит с поверхности внутрь клетки. Второй — protease protection assay: ITGβ1 после Wnt обнаруживается внутри мембранного компартмента (защищён от Proteinase K при дигитонине и теряет защиту с Triton X-100). Если бы он деградировал, то его просто не было бы видно в иммунофлуоресценции после Wnt.</w:t>
      </w:r>
    </w:p>
    <w:p>
      <w:r>
        <w:rPr>
          <w:b/>
          <w:sz w:val="26"/>
        </w:rPr>
        <w:t>Вопрос 2. Почему выбрана именно β1-субъединица, а не конкретный αβ-гетеродимер?</w:t>
      </w:r>
    </w:p>
    <w:p>
      <w:pPr>
        <w:spacing w:after="200"/>
      </w:pPr>
      <w:r>
        <w:rPr>
          <w:sz w:val="26"/>
        </w:rPr>
        <w:t>Ответ. У млекопитающих возможно 24 гетеродимера интегринов, но β1-субъединица входит в большинство комбинаций и является общим структурным элементом. Это позволяет одним зондом (антитело к ITGβ1, морфолино к одному гену) одновременно оценить поведение большой группы интегринов. Минус такого подхода — в том, что он не различает вклад отдельных αβ-пар, и авторы это не скрывают. Это задача для будущих исследований на конкретных α-субъединицах.</w:t>
      </w:r>
    </w:p>
    <w:p>
      <w:r>
        <w:rPr>
          <w:b/>
          <w:sz w:val="26"/>
        </w:rPr>
        <w:t>Вопрос 3. Почему контрольный белок — именно трансферриновый рецептор (TfR)?</w:t>
      </w:r>
    </w:p>
    <w:p>
      <w:pPr>
        <w:spacing w:after="200"/>
      </w:pPr>
      <w:r>
        <w:rPr>
          <w:sz w:val="26"/>
        </w:rPr>
        <w:t>Ответ. TfR рециклируется быстро и независимо от Wnt — через клатрин-опосредованный эндоцитоз. Его стабильность на поверхности в присутствии Wnt3a показывает, что эффект касается именно ITGβ1, а не общего эндоцитоза плазматической мембраны. Если бы падал и TfR, это означало бы неспецифическую реакцию.</w:t>
      </w:r>
    </w:p>
    <w:p>
      <w:r>
        <w:rPr>
          <w:b/>
          <w:sz w:val="26"/>
        </w:rPr>
        <w:t>Вопрос 4. Что даёт дигитонин и почему нельзя просто залить Proteinase K?</w:t>
      </w:r>
    </w:p>
    <w:p>
      <w:pPr>
        <w:spacing w:after="200"/>
      </w:pPr>
      <w:r>
        <w:rPr>
          <w:sz w:val="26"/>
        </w:rPr>
        <w:t>Ответ. Дигитонин — это сапонин, который связывается с холестерином. На плазматической мембране холестерина много, на внутриклеточных мембранах — существенно меньше. Поэтому дигитонин избирательно пробивает плазмалемму, оставляя эндосомы, MVB и другие органеллы нетронутыми. Если залить Proteinase K без дигитонина — он просто не проникнет в клетку. Если лизировать клетку полностью — потеряется сам смысл: нельзя будет отличить цитозольные белки от внутривезикулярных. Дигитонин и создаёт это избирательное окно.</w:t>
      </w:r>
    </w:p>
    <w:p>
      <w:r>
        <w:rPr>
          <w:b/>
          <w:sz w:val="26"/>
        </w:rPr>
        <w:t>Вопрос 5. Чем Vps4-EQ доказывает именно MVB, а не любые другие везикулы?</w:t>
      </w:r>
    </w:p>
    <w:p>
      <w:pPr>
        <w:spacing w:after="200"/>
      </w:pPr>
      <w:r>
        <w:rPr>
          <w:sz w:val="26"/>
        </w:rPr>
        <w:t>Ответ. Vps4 — АТФаза ESCRT-III, без которой интралюминальные везикулы в MVB не отпочковываются от ограничивающей мембраны. Мутант EQ в ATP-связывающем сайте работает как доминант-негатив: связывается с ESCRT-комплексом, но не гидролизует АТФ, блокируя весь процесс. Если после экспрессии Vps4-EQ колокализация ITGβ1 с этим маркером исчезает — значит везикулы, которые мы видим, были именно MVB. Это классический молекулярный признак MVB, а не, скажем, ранней эндосомы или лизосомы.</w:t>
      </w:r>
    </w:p>
    <w:p>
      <w:r>
        <w:rPr>
          <w:b/>
          <w:sz w:val="26"/>
        </w:rPr>
        <w:t>Вопрос 6. Почему через 15–20 минут — это важный срок?</w:t>
      </w:r>
    </w:p>
    <w:p>
      <w:pPr>
        <w:spacing w:after="200"/>
      </w:pPr>
      <w:r>
        <w:rPr>
          <w:sz w:val="26"/>
        </w:rPr>
        <w:t>Ответ. Это принципиальный аргумент против транскрипционного объяснения. Чтобы эффект развился за счёт новой экспрессии генов, нужны транскрипция, сплайсинг, экспорт мРНК, трансляция, фолдинг белка — в сумме минимум час-два. Уровень цитоплазматических событий типа трафика и фосфорилирования разворачивается за минуты. 15–20 минут — это «окно трафика», в котором транскрипцию можно исключить.</w:t>
      </w:r>
    </w:p>
    <w:p>
      <w:r>
        <w:rPr>
          <w:b/>
          <w:sz w:val="26"/>
        </w:rPr>
        <w:t>Вопрос 7. Не может ли Wnt3a индуцировать эндоцитоз ITGβ1 неспецифически, через общий макропиноцитоз?</w:t>
      </w:r>
    </w:p>
    <w:p>
      <w:pPr>
        <w:spacing w:after="200"/>
      </w:pPr>
      <w:r>
        <w:rPr>
          <w:sz w:val="26"/>
        </w:rPr>
        <w:t>Ответ. Макропиноцитоз действительно запускается Wnt3a и является частью механизма. Однако авторы показывают специфичность: TfR, который тоже мог бы попасть в макропиносомы, не меняется; эффект отменяется доминант-негативным Vps4-EQ; и в Xenopus rescue работает только с ITGβ1 мРНК. Макропиноцитоз здесь — механизм доставки, но выбор груза не случаен: ITGβ1 уходит, а TfR — нет.</w:t>
      </w:r>
    </w:p>
    <w:p>
      <w:r>
        <w:rPr>
          <w:b/>
          <w:sz w:val="26"/>
        </w:rPr>
        <w:t>Вопрос 8. Можно ли считать, что это классический EMT-ответ?</w:t>
      </w:r>
    </w:p>
    <w:p>
      <w:pPr>
        <w:spacing w:after="200"/>
      </w:pPr>
      <w:r>
        <w:rPr>
          <w:sz w:val="26"/>
        </w:rPr>
        <w:t>Ответ. Частично да, и авторы это обсуждают. EMT включает потерю эпителиальных адгезий, репрессию E-кадгерина, активацию миграции. В клетках HCC с мутацией Axin1 авторы по RNA-seq видят снижение и ITGβ1, и TLN1, а при восстановлении Axin1 — рост E-кадгерина и падение EMT-фактора Twist2. Плюс в animal cap эмбрионов лягушки LiCl (миметик Wnt) вызывает направленную миграцию. Так что крошталк Wnt ↔ адгезии, вероятно, — часть более широкой EMT-программы, но прямого доказательства EMT именно в их in vitro экспериментах нет — и это они тоже честно отмечают.</w:t>
      </w:r>
    </w:p>
    <w:p>
      <w:r>
        <w:rPr>
          <w:b/>
          <w:sz w:val="26"/>
        </w:rPr>
        <w:t>Вопрос 9. Как это согласуется с тем, что Wnt в других контекстах наоборот усиливает адгезию?</w:t>
      </w:r>
    </w:p>
    <w:p>
      <w:pPr>
        <w:spacing w:after="200"/>
      </w:pPr>
      <w:r>
        <w:rPr>
          <w:sz w:val="26"/>
        </w:rPr>
        <w:t>Ответ. Литература действительно неоднозначна: например, Kindlin-2 — компонент FA — умеет связываться с β-катенином и TCF4 и усиливать Wnt-сигнал. Жёсткость матрикса через FAK тоже может активировать транскрипцию Wnt1. Авторы подчёркивают, что их результат не отменяет этих работ, а дополняет: на коротких временах (минуты) Wnt разбирает FA через эндоцитоз, а на длинных (часы и дни) через транскрипцию ситуация может быть другой. Это двунаправленная регуляция, и, возможно, именно обратная связь.</w:t>
      </w:r>
    </w:p>
    <w:p>
      <w:r>
        <w:rPr>
          <w:b/>
          <w:sz w:val="26"/>
        </w:rPr>
        <w:t>Вопрос 10. Какое практическое значение у этого открытия?</w:t>
      </w:r>
    </w:p>
    <w:p>
      <w:pPr>
        <w:spacing w:after="200"/>
      </w:pPr>
      <w:r>
        <w:rPr>
          <w:sz w:val="26"/>
        </w:rPr>
        <w:t>Ответ. Два направления. Первое — онкологическое: Wnt гиперактивен во многих опухолях, а метастазирование зависит от оборота интегринов. Если Wnt напрямую снижает ITGβ1 и разбирает FA, то это молекулярный механизм, связывающий Wnt-активацию с инвазивным фенотипом, и потенциальная мишень — не сам Wnt, а ESCRT/макропиноцитоз. Второе — биологическое: это меняет наше понимание Wnt от «транскрипционного фактора» к «регулятору мембранного трафика», что переосмысливает и эмбриональное развитие.</w:t>
      </w:r>
    </w:p>
    <w:p>
      <w:r>
        <w:rPr>
          <w:b/>
          <w:sz w:val="26"/>
        </w:rPr>
        <w:t>Вопрос 11. Какие ограничения у работы и что нужно сделать дальше?</w:t>
      </w:r>
    </w:p>
    <w:p>
      <w:pPr>
        <w:spacing w:after="200"/>
      </w:pPr>
      <w:r>
        <w:rPr>
          <w:sz w:val="26"/>
        </w:rPr>
        <w:t>Ответ. Главное ограничение, которое авторы сами указывают: функциональная роль ITGβ1 в Wnt-сигналинге показана только на эмбрионах Xenopus. В клетках млекопитающих показан лишь сам факт эндоцитоза. Следующий логический шаг — CRISPR-нокдаун ITGβ1 в клетках млекопитающих на подложках разной жёсткости с β-катенин-репортером, чтобы количественно оценить вклад интегрина в Wnt-передачу в культуре. Также интересно проверить другие β-субъединицы (β3, β5) и конкретные α-пары, и прямое измерение отрицательной обратной связи Wnt ↔ ITGβ1.</w:t>
      </w:r>
    </w:p>
    <w:p>
      <w:r>
        <w:rPr>
          <w:b/>
          <w:sz w:val="26"/>
        </w:rPr>
        <w:t>Вопрос 12. Можно ли назвать Wnt через эндоцитоз «негенотоксичным» регулятором адгезии?</w:t>
      </w:r>
    </w:p>
    <w:p>
      <w:pPr>
        <w:spacing w:after="200"/>
      </w:pPr>
      <w:r>
        <w:rPr>
          <w:sz w:val="26"/>
        </w:rPr>
        <w:t>Ответ. Фактически да. Эффект на адгезию развивается за 20 минут и полностью механический и мембранно-транспортный — без изменения экспрессии генов. В более длинной перспективе включается и транскрипционная компонента (через β-катенин, через EMT-факторы), но ранний эффект — это чистая клеточная биология мембран, без ядра.</w:t>
      </w:r>
    </w:p>
    <w:p>
      <w:r>
        <w:rPr>
          <w:b/>
          <w:sz w:val="26"/>
        </w:rPr>
        <w:t>Вопрос 13. Почему использовались именно фибробласты роговицы и HeLa?</w:t>
      </w:r>
    </w:p>
    <w:p>
      <w:pPr>
        <w:spacing w:after="200"/>
      </w:pPr>
      <w:r>
        <w:rPr>
          <w:sz w:val="26"/>
        </w:rPr>
        <w:t>Ответ. HeLa — стандартная модель, в которой у лаборатории уже отработаны Wnt-протоколы, и она хорошо видна в DIC, что удобно для прямого наблюдения за везикулами. Первичные фибробласты роговицы (HCSF) — это первичная клеточная линия, не трансформированная, с особенно богатой и хорошо различимой сетью фокальных адгезий на фибронектине. Комбинация «первичные клетки + иммортализованная линия + in vivo модель» — это стандартный приём, чтобы исключить артефакты одной конкретной клетки.</w:t>
      </w:r>
    </w:p>
    <w:p>
      <w:r>
        <w:rPr>
          <w:b/>
          <w:sz w:val="26"/>
        </w:rPr>
        <w:t>Вопрос 14. Как авторы измеряли колокализацию и почему именно коэффициент Пирсона?</w:t>
      </w:r>
    </w:p>
    <w:p>
      <w:pPr>
        <w:spacing w:after="200"/>
      </w:pPr>
      <w:r>
        <w:rPr>
          <w:sz w:val="26"/>
        </w:rPr>
        <w:t>Ответ. Коэффициент корреляции Пирсона между двумя флуоресцентными каналами — стандартный количественный способ оценивать колокализацию в ImageJ, он не зависит от абсолютной яркости и оценивает именно согласованность двух сигналов. Они используют его с n ≥ 3 независимыми экспериментами и приводят SEM и p-value. Это прозрачный количественный метод, воспроизводимый другими лабораториями.</w:t>
      </w:r>
    </w:p>
    <w:p>
      <w:r>
        <w:rPr>
          <w:b/>
          <w:sz w:val="26"/>
        </w:rPr>
        <w:t>Вопрос 15. Что такое сигналосома и чем она отличается от обычного рецептор-лигандного комплекса?</w:t>
      </w:r>
    </w:p>
    <w:p>
      <w:pPr>
        <w:spacing w:after="200"/>
      </w:pPr>
      <w:r>
        <w:rPr>
          <w:sz w:val="26"/>
        </w:rPr>
        <w:t>Ответ. Сигналосома — это крупный кластер из Wnt, Frizzled, LRP6, Dvl, Axin и GSK3, который формируется на плазматической мембране после связывания Wnt. В отличие от изолированного рецептор-лигандного комплекса, сигналосома локально концентрирует и инактивирует destruction complex и сама служит платформой для эндоцитоза. По сути это агрегат десятков белков, и именно он целиком упаковывается в MVB.</w:t>
      </w:r>
    </w:p>
    <w:p>
      <w:r>
        <w:rPr>
          <w:b/>
          <w:sz w:val="26"/>
        </w:rPr>
        <w:t>Вопрос 16. Могло ли истощение ITGβ1 в Xenopus влиять на Wnt-сигнал просто за счёт нарушения морфологии эмбриона, а не напрямую?</w:t>
      </w:r>
    </w:p>
    <w:p>
      <w:pPr>
        <w:spacing w:after="200"/>
      </w:pPr>
      <w:r>
        <w:rPr>
          <w:sz w:val="26"/>
        </w:rPr>
        <w:t>Ответ. Это важный вопрос. Авторы его адресуют тем, что одна только инъекция ITGβ1 MO без Wnt8 вообще не даёт фенотипа — эмбрион развивается нормально. Значит ITGβ1 MO сам по себе не ломает морфологию на этой дозе, а именно ослабляет избыточный Wnt-сигнал. Плюс rescue человеческим ITGβ1 возвращает фенотип, подтверждая специфичность.</w:t>
      </w:r>
    </w:p>
    <w:p>
      <w:r>
        <w:rPr>
          <w:b/>
          <w:sz w:val="26"/>
        </w:rPr>
        <w:t>Вопрос 17. Почему не использован FRET или live-cell tracking для прямого наблюдения эндоцитоза ITGβ1?</w:t>
      </w:r>
    </w:p>
    <w:p>
      <w:pPr>
        <w:spacing w:after="200"/>
      </w:pPr>
      <w:r>
        <w:rPr>
          <w:sz w:val="26"/>
        </w:rPr>
        <w:t>Ответ. Это справедливое замечание. В работе используется fixed-cell подход с иммунофлуоресценцией и биохимия. Live-cell imaging с меченым ITGβ1-GFP дал бы динамику в реальном времени, но потребовал бы экзогенной экспрессии и мог бы сместить стехиометрию. Авторы компенсируют это тремя независимыми fixed-методами и коротким таймингом. Live-imaging ITGβ1 с минимально-перевозмущающими тегами — естественное продолжение.</w:t>
      </w:r>
    </w:p>
    <w:p>
      <w:r>
        <w:rPr>
          <w:b/>
          <w:sz w:val="26"/>
        </w:rPr>
        <w:t>Вопрос 18. Как соотносится с CME и клатрин-зависимым эндоцитозом интегринов?</w:t>
      </w:r>
    </w:p>
    <w:p>
      <w:pPr>
        <w:spacing w:after="200"/>
      </w:pPr>
      <w:r>
        <w:rPr>
          <w:sz w:val="26"/>
        </w:rPr>
        <w:t>Ответ. Интегрины в норме в основном эндоцитозируются через CME. Авторы показывают, что Wnt-индуцированный путь — это макропиноцитоз, а не CME: размер везикул, роль Pak1 и зависимость от ESCRT указывают именно на макропиноцитарные чашечки, а не клатриновые ямки. То есть Wnt открывает дополнительный канал убирания ITGβ1 с поверхности, поверх базового CME.</w:t>
      </w:r>
    </w:p>
    <w:p>
      <w:r>
        <w:rPr>
          <w:b/>
          <w:sz w:val="26"/>
        </w:rPr>
        <w:t>Вопрос 19. Если Wnt снижает ITGβ1, а ITGβ1 нужен для Wnt-сигнала, не получается ли бесконечная петля?</w:t>
      </w:r>
    </w:p>
    <w:p>
      <w:pPr>
        <w:spacing w:after="200"/>
      </w:pPr>
      <w:r>
        <w:rPr>
          <w:sz w:val="26"/>
        </w:rPr>
        <w:t>Ответ. Нет, получается саморегулируемая петля с ограничением. Wnt усиливает эндоцитоз ITGβ1 — это даёт короткий всплеск сигнала, но одновременно снижает ресурс ITGβ1 на поверхности, и сам же сигнал затухает. Это как раз механизм «negative feedback loop» с ограничением длительности ответа, о котором пишут авторы в Discussion. Похожая логика, кстати, работает у многих RTK с их лиганд-индуцированным эндоцитозом.</w:t>
      </w:r>
    </w:p>
    <w:p/>
    <w:p>
      <w:pPr>
        <w:jc w:val="center"/>
      </w:pPr>
      <w:r>
        <w:rPr>
          <w:i/>
          <w:sz w:val="20"/>
        </w:rPr>
        <w:t>Всего подготовлено вопросов: 19. Порядок — от методических к биологическим и прикладным.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