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36"/>
        </w:rPr>
        <w:t>Доклад к презентации</w:t>
        <w:br/>
        <w:t>Канонический Wnt-сигналинг индуцирует эндоцитоз фокальных адгезий и Integrin β1</w:t>
      </w:r>
    </w:p>
    <w:p>
      <w:pPr>
        <w:jc w:val="center"/>
      </w:pPr>
      <w:r>
        <w:rPr>
          <w:i/>
          <w:sz w:val="22"/>
        </w:rPr>
        <w:t>По статье: Tejeda-Muñoz N., Morselli M., Moriyama Y., Sheladiya P., Pellegrini M., De Robertis E.M. iScience 25, 104123 (April 15, 2022). DOI: 10.1016/j.isci.2022.104123</w:t>
        <w:br/>
        <w:t>Регламент: 8–10 минут устного выступления.</w:t>
      </w:r>
    </w:p>
    <w:p/>
    <w:p>
      <w:r>
        <w:rPr>
          <w:b/>
          <w:color w:val="2E508A"/>
          <w:sz w:val="28"/>
        </w:rPr>
        <w:t>Слайд 1 (титульный). Введение</w:t>
      </w:r>
    </w:p>
    <w:p>
      <w:pPr>
        <w:spacing w:line="312" w:lineRule="auto" w:after="120"/>
        <w:ind w:firstLine="567"/>
      </w:pPr>
      <w:r>
        <w:rPr>
          <w:sz w:val="26"/>
        </w:rPr>
        <w:t>Добрый день. Сегодня расскажу о работе Тэхеда-Муньос и коллег из лаборатории Де Робертиса в UCLA, вышедшей в iScience в апреле 2022 года. Главный тезис: канонический Wnt-сигнал не только стабилизирует β-катенин, он ещё и за 15–20 минут запускает эндоцитоз фокальных адгезий и интегрина β1 с плазматической мембраны. Одна и та же мембранная машинерия одновременно передаёт сигнал и перестраивает адгезию клетки к матриксу — это меняет наш взгляд на Wnt как на чисто транскрипционный путь.</w:t>
      </w:r>
    </w:p>
    <w:p>
      <w:r>
        <w:rPr>
          <w:b/>
          <w:color w:val="2E508A"/>
          <w:sz w:val="28"/>
        </w:rPr>
        <w:t>Слайды 2–3. Ликбез: Wnt и фокальные адгезии</w:t>
      </w:r>
    </w:p>
    <w:p>
      <w:pPr>
        <w:spacing w:line="312" w:lineRule="auto" w:after="120"/>
        <w:ind w:firstLine="567"/>
      </w:pPr>
      <w:r>
        <w:rPr>
          <w:sz w:val="26"/>
        </w:rPr>
        <w:t>Коротко напомню. Без Wnt destruction complex — Axin, APC, CK1 и GSK3 — фосфорилирует β-катенин и отправляет его на деградацию. Когда Wnt связывается с Frizzled и LRP6, на мембране собирается сигналосома, она вместе с GSK3 и Axin эндоцитозируется и через ESCRT-машинерию упаковывается в мультивезикулярные тельца — MVB. GSK3 физически изолируется, β-катенин стабилизируется и идёт в ядро.</w:t>
      </w:r>
    </w:p>
    <w:p>
      <w:pPr>
        <w:spacing w:line="312" w:lineRule="auto" w:after="120"/>
        <w:ind w:firstLine="567"/>
      </w:pPr>
      <w:r>
        <w:rPr>
          <w:sz w:val="26"/>
        </w:rPr>
        <w:t>Вторая система — фокальные адгезии. Интегрины — α/β-гетеродимеры, и в большинстве гетеродимеров общий элемент — β1-субъединица. Поэтому авторы сфокусировались на ITGβ1. Интегрины не статичны: постоянно циркулируют между мембраной и эндосомами, и их оборот определяет миграцию, цитокинез и метастазирование. Сами фокальные адгезии — это талин, винкулин, паксиллин, зиксин и киназы FAK и Src.</w:t>
      </w:r>
    </w:p>
    <w:p>
      <w:r>
        <w:rPr>
          <w:b/>
          <w:color w:val="2E508A"/>
          <w:sz w:val="28"/>
        </w:rPr>
        <w:t>Слайды 4–5. Гипотеза и дизайн</w:t>
      </w:r>
    </w:p>
    <w:p>
      <w:pPr>
        <w:spacing w:line="312" w:lineRule="auto" w:after="120"/>
        <w:ind w:firstLine="567"/>
      </w:pPr>
      <w:r>
        <w:rPr>
          <w:sz w:val="26"/>
        </w:rPr>
        <w:t>Отправной точкой стало наблюдение: Wnt-везикулы формируются на кончиках актиновых кабелей — там же, где сидят фокальные адгезии. Отсюда гипотеза: если географически они совпадают, возможно, связаны и функционально — через общий эндоцитоз. Проверка идёт по четырём направлениям: иммунофлуоресценция в фибробластах и HeLa, биохимия поверхностного биотинилирования, protease protection assay и in vivo модель на эмбрионах Xenopus с rescue-контролем. Когда четыре разных метода сходятся в один вывод, аргумент сильный.</w:t>
      </w:r>
    </w:p>
    <w:p>
      <w:r>
        <w:rPr>
          <w:b/>
          <w:color w:val="2E508A"/>
          <w:sz w:val="28"/>
        </w:rPr>
        <w:t>Слайд 6. Временная шкала</w:t>
      </w:r>
    </w:p>
    <w:p>
      <w:pPr>
        <w:spacing w:line="312" w:lineRule="auto" w:after="120"/>
        <w:ind w:firstLine="567"/>
      </w:pPr>
      <w:r>
        <w:rPr>
          <w:sz w:val="26"/>
        </w:rPr>
        <w:t>Важная методическая деталь — тайминг. Первые изменения видны через 15 минут, полный разбор фокальных адгезий — за 20. Любой транскрипционный ответ требует минимум часа. Значит то, что мы видим в первые 20 минут, — это чистая работа мембранного трафика, без новой экспрессии генов. Это ключевой аргумент всей статьи.</w:t>
      </w:r>
    </w:p>
    <w:p>
      <w:r>
        <w:rPr>
          <w:b/>
          <w:color w:val="2E508A"/>
          <w:sz w:val="28"/>
        </w:rPr>
        <w:t>Слайд 7. Результат 1: перестройка цитоскелета и потеря FA</w:t>
      </w:r>
    </w:p>
    <w:p>
      <w:pPr>
        <w:spacing w:line="312" w:lineRule="auto" w:after="120"/>
        <w:ind w:firstLine="567"/>
      </w:pPr>
      <w:r>
        <w:rPr>
          <w:sz w:val="26"/>
        </w:rPr>
        <w:t>Первый эксперимент — на первичных человеческих фибробластах роговицы HCSF. В контроле классическая картина: актиновые кабели, фаллоидин, а на их кончиках — точки винкулина. После 20 минут Wnt3a кабели дезорганизуются, винкулин уходит во внутриклеточные пятна, а на поверхности — активный membrane ruffling, характерный для макропиноцитоза. Колокализация F-актина и винкулина падает статистически значимо (Figure 1).</w:t>
      </w:r>
    </w:p>
    <w:p>
      <w:r>
        <w:rPr>
          <w:b/>
          <w:color w:val="2E508A"/>
          <w:sz w:val="28"/>
        </w:rPr>
        <w:t>Слайд 8. Результат 2: общий компартмент GSK3 и Zyxin</w:t>
      </w:r>
    </w:p>
    <w:p>
      <w:pPr>
        <w:spacing w:line="312" w:lineRule="auto" w:after="120"/>
        <w:ind w:firstLine="567"/>
      </w:pPr>
      <w:r>
        <w:rPr>
          <w:sz w:val="26"/>
        </w:rPr>
        <w:t>Дальше — попадают ли компоненты двух путей в один компартмент. На HeLa после 20 минут Wnt3a эндогенная GSK3, обычно равномерная в цитозоле, концентрируется в ярких везикулах, видимых даже в DIC. В этих же везикулах — зиксин, маркер фокальных адгезий. Морфологическое доказательство crosstalk (Figure 2).</w:t>
      </w:r>
    </w:p>
    <w:p>
      <w:r>
        <w:rPr>
          <w:b/>
          <w:color w:val="2E508A"/>
          <w:sz w:val="28"/>
        </w:rPr>
        <w:t>Слайд 9. Результат 3: ITGβ1 уходит с мембраны</w:t>
      </w:r>
    </w:p>
    <w:p>
      <w:pPr>
        <w:spacing w:line="312" w:lineRule="auto" w:after="120"/>
        <w:ind w:firstLine="567"/>
      </w:pPr>
      <w:r>
        <w:rPr>
          <w:sz w:val="26"/>
        </w:rPr>
        <w:t>Теперь надо строго доказать, что именно ITGβ1 уходит с поверхности. Поверхностное биотинилирование: клеткам HeLa добавляют Wnt3a на 0, 15 и 30 минут при 37 °C, переносят на лёд (это блокирует эндоцитоз), метят плазматическую мембрану Sulfo-NHS-SS-биотином. Меченые белки тянут на стрептавидин-агарозе и смотрят вестерн-блот. Результат: уже на 15-й минуте поверхностный ITGβ1 падает, к 30-й — ещё сильнее. Контроль — рецептор трансферрина, который рециклируется по Wnt-независимому пути, — не меняется. Эффект специфичен для ITGβ1 (Figure 3).</w:t>
      </w:r>
    </w:p>
    <w:p>
      <w:r>
        <w:rPr>
          <w:b/>
          <w:color w:val="2E508A"/>
          <w:sz w:val="28"/>
        </w:rPr>
        <w:t>Слайды 10–11. Protease protection assay</w:t>
      </w:r>
    </w:p>
    <w:p>
      <w:pPr>
        <w:spacing w:line="312" w:lineRule="auto" w:after="120"/>
        <w:ind w:firstLine="567"/>
      </w:pPr>
      <w:r>
        <w:rPr>
          <w:sz w:val="26"/>
        </w:rPr>
        <w:t>Следующий вопрос: куда именно уходит ITGβ1? Для этого — «золотой стандарт», protease protection assay. Дигитонин избирательно пробивает только плазмалемму, внутриклеточные мембраны остаются целыми. Proteinase K режет весь цитозоль. А всё, что внутри везикул, защищено мембраной. Контроль — Triton X-100: растворяет все мембраны, защита исчезает. Результат: после Wnt3a ITGβ1 и GSK3 колокализуются в одних точках и защищены от протеазы, а Triton X-100 эту защиту убирает. Дополнительно показали, что в эти же везикулы уходит c-Src — онкоген, регулирующий разборку FA (Figure 4).</w:t>
      </w:r>
    </w:p>
    <w:p>
      <w:r>
        <w:rPr>
          <w:b/>
          <w:color w:val="2E508A"/>
          <w:sz w:val="28"/>
        </w:rPr>
        <w:t>Слайд 12. Результат 5: это MVB, роль ESCRT</w:t>
      </w:r>
    </w:p>
    <w:p>
      <w:pPr>
        <w:spacing w:line="312" w:lineRule="auto" w:after="120"/>
        <w:ind w:firstLine="567"/>
      </w:pPr>
      <w:r>
        <w:rPr>
          <w:sz w:val="26"/>
        </w:rPr>
        <w:t>Что это за компартмент? Авторы используют Vps4 — АТФазу ESCRT-машинерии. Сравнивают Vps4 дикого типа и доминант-негативный мутант Vps4-EQ. С диким Vps4 после Wnt3a он чётко колокализуется с ITGβ1. С Vps4-EQ везикул не образуется вообще, колокализации нет. Из корреляции получается механистическая зависимость: без работающей ESCRT-машинерии эндоцитоза ITGβ1 по Wnt-пути не будет (Figure 5).</w:t>
      </w:r>
    </w:p>
    <w:p>
      <w:r>
        <w:rPr>
          <w:b/>
          <w:color w:val="2E508A"/>
          <w:sz w:val="28"/>
        </w:rPr>
        <w:t>Слайд 13. Результат 6: функциональная валидация in vivo</w:t>
      </w:r>
    </w:p>
    <w:p>
      <w:pPr>
        <w:spacing w:line="312" w:lineRule="auto" w:after="120"/>
        <w:ind w:firstLine="567"/>
      </w:pPr>
      <w:r>
        <w:rPr>
          <w:sz w:val="26"/>
        </w:rPr>
        <w:t>Есть ли у этого биологический смысл? Авторы разработали сенсибилизированный тест на Xenopus: четыре инъекции по 0,5 пг мРНК xWnt8 в анимальный полюс дают радиальную дорсализацию — головы по всей периферии без туловища. Это очень чувствительный индикатор гипер-Wnt. Одно ITGβ1-морфолино фенотипа не даёт. А Wnt8 + ITGβ1 MO частично восстанавливают осевые структуры — то есть истощение ITGβ1 ослабляет Wnt. Ключевой контроль специфичности: эффект обращается назад добавлением мРНК человеческого ITGβ1, на который морфолино не действует. Классический rescue (Figure 6).</w:t>
      </w:r>
    </w:p>
    <w:p>
      <w:r>
        <w:rPr>
          <w:b/>
          <w:color w:val="2E508A"/>
          <w:sz w:val="28"/>
        </w:rPr>
        <w:t>Слайд 14. Интегральная модель</w:t>
      </w:r>
    </w:p>
    <w:p>
      <w:pPr>
        <w:spacing w:line="312" w:lineRule="auto" w:after="120"/>
        <w:ind w:firstLine="567"/>
      </w:pPr>
      <w:r>
        <w:rPr>
          <w:sz w:val="26"/>
        </w:rPr>
        <w:t>Собираем всё вместе. Wnt связывает Frizzled и LRP6, формируется сигналосома. Параллельно запускается макропиноцитоз — актин-зависимые чашечки на кромке клетки. В эти чашечки попадает рецепторный комплекс, GSK3, Axin — и вместе с ними ITGβ1, винкулин, зиксин, c-Src. Через ESCRT всё упаковывается в MVB: GSK3 изолируется, β-катенин стабилизируется, а фокальные адгезии одновременно разбираются. Сигнал и адгезия регулируются одним трафик-событием. Авторы даже предполагают отрицательную обратную связь: Wnt снижает ITGβ1, а снижение ITGβ1 ослабляет сам Wnt-сигнал — петля с ограничением длительности ответа.</w:t>
      </w:r>
    </w:p>
    <w:p>
      <w:r>
        <w:rPr>
          <w:b/>
          <w:color w:val="2E508A"/>
          <w:sz w:val="28"/>
        </w:rPr>
        <w:t>Слайд 15. Критическая оценка</w:t>
      </w:r>
    </w:p>
    <w:p>
      <w:pPr>
        <w:spacing w:line="312" w:lineRule="auto" w:after="120"/>
        <w:ind w:firstLine="567"/>
      </w:pPr>
      <w:r>
        <w:rPr>
          <w:sz w:val="26"/>
        </w:rPr>
        <w:t>Что сделано сильно: сходимость четырёх независимых методов, хорошие контроли — TfR, Triton X-100, Vps4-EQ и особенно rescue человеческим ITGβ1 в лягушке, — и короткий тайминг, исключающий транскрипцию. Что предстоит: функциональная роль ITGβ1 в Wnt показана только на эмбрионах лягушки. Логичный следующий шаг — CRISPR-нокдаун ITGβ1 в клетках млекопитающих на подложках разной жёсткости с β-катенин-репортером.</w:t>
      </w:r>
    </w:p>
    <w:p>
      <w:r>
        <w:rPr>
          <w:b/>
          <w:color w:val="2E508A"/>
          <w:sz w:val="28"/>
        </w:rPr>
        <w:t>Слайд 16. Клинический контекст и итог</w:t>
      </w:r>
    </w:p>
    <w:p>
      <w:pPr>
        <w:spacing w:line="312" w:lineRule="auto" w:after="120"/>
        <w:ind w:firstLine="567"/>
      </w:pPr>
      <w:r>
        <w:rPr>
          <w:sz w:val="26"/>
        </w:rPr>
        <w:t>Wnt и интегриновый пути — одни из самых древних у метазоа, оба критичны в онкологии. Wnt гиперактивен во многих опухолях, интегрины определяют инвазивность и метастаз. Почти все смерти от рака — это метастазы, а не первичная опухоль. Если Wnt напрямую снижает ITGβ1 и разбирает FA, открывается новая мишень — не сам Wnt, а макропиноцитоз или ESCRT, чтобы стабилизировать адгезию. Плюс связка с EMT: в HCC-клетках с мутацией Axin1 одновременно падает ITGβ1 и E-кадгерин.</w:t>
      </w:r>
    </w:p>
    <w:p>
      <w:pPr>
        <w:spacing w:line="312" w:lineRule="auto" w:after="120"/>
        <w:ind w:firstLine="567"/>
      </w:pPr>
      <w:r>
        <w:rPr>
          <w:sz w:val="26"/>
        </w:rPr>
        <w:t>Итог. Wnt-путь и фокальные адгезии — не два параллельных каскада, а две стороны одного мембранно-транспортного события. Wnt запускает макропиноцитоз, который одновременно формирует MVB для передачи сигнала и убирает интегрины с поверхности клетки. Это переосмысливает Wnt — от транскрипционного пути к интегрированному регулятору адгезии, миграции и пролиферации. Спасибо за внимание, готов к вопросам.</w:t>
      </w:r>
    </w:p>
    <w:p/>
    <w:p>
      <w:pPr>
        <w:jc w:val="center"/>
      </w:pPr>
      <w:r>
        <w:rPr>
          <w:i/>
          <w:sz w:val="20"/>
        </w:rPr>
        <w:t>Целевой объём — около 1150 слов; при темпе 115–135 слов/мин — 8–10 минут устного выступления.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