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Возможные вопросы и ответы к докладу</w:t>
      </w:r>
    </w:p>
    <w:p>
      <w:pPr>
        <w:jc w:val="center"/>
      </w:pPr>
      <w:r>
        <w:rPr>
          <w:i/>
          <w:sz w:val="22"/>
        </w:rPr>
        <w:t>К статье Tejeda-Muñoz et al., iScience 25, 104123 (2022). DOI: 10.1016/j.isci.2022.104123</w:t>
        <w:br/>
        <w:t>Вопросы подобраны так, чтобы ответы не звучали прямо в ходе презентации — они либо уточняют детали статьи (методы, численные данные RNA-seq, supplemental-эксперименты, литературный контекст), либо выводятся из общих соображений клеточной биологии.</w:t>
      </w:r>
    </w:p>
    <w:p/>
    <w:p>
      <w:r>
        <w:rPr>
          <w:b/>
          <w:color w:val="2E508A"/>
          <w:sz w:val="28"/>
        </w:rPr>
        <w:t>Методические детали, не попавшие в слайды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В какой именно концентрации и сколько времени использовали Wnt3a? Это физиологические дозы или «фармакология»?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В большинстве экспериментов (иммунофлуоресценция, protease protection, колокализация с Vps4) применяется рекомбинантный Wnt3a (Peprotech 315-20) в концентрации 100 нг/мл на 20 минут. В surface-biotinylation опыте используются две временные точки — 15 и 30 минут при 37 °C. Это стандартная in vitro концентрация, заметно выше, чем локальные парасакринные уровни Wnt в тканях, но она принята в полевых работах по Wnt-трафику именно для того, чтобы синхронно активировать клетки и иметь морфологический выход — это фармакологический режим, а не физиологический.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Какая статистика и сколько повторов стоит за «**p &lt; 0.01»?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Все количественные эксперименты — не менее трёх независимых повторов (n ≥ 3 в разделе Quantification), каждый с более чем 25 клетками на условие. Сравнения двух групп — Student t-test, порог p&lt;0.01. Количество пунктов считается автоматически в ImageJ через MaxEntropy threshold + binary watershed + analyze particles (размер 0.2–5 мкм, circularity −1), а колокализация оценивается коэффициентом Пирсона на n &gt; 25 клетках. То есть это n клеток, а не n биологических реплик — это важно помнить при оценке «мощности» сравнения.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Какая именно концентрация дигитонина и Proteinase K — почему они не пробивают внутриклеточные мембраны?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Дигитонин — 6,5 мкг/мл, 30 минут на льду. Proteinase K — 1 мкг/мл, 10 минут. Дигитонин связывается с холестерином; плазматическая мембрана существенно более холестерин-обогащена, чем мембраны эндосом, MVB и Гольджи, поэтому при такой низкой концентрации он делает «дырки» только на поверхности. 1 мкг/мл Proteinase K достаточно для деградации цитозольных белков, но за 10 минут фермент не проникает через интактные внутриклеточные мембраны. Именно это «временное окно» и делает метод избирательным.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Откуда берётся Sulfo-NHS-SS-Biotin и почему для него нужен именно лёд?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Sulfo-NHS-SS-Biotin — сульфированный биотин с NHS-эфирной группой, реагирующей с первичными аминами (лизины, N-концы) на белках. Ключевая «su» — сульфатная группа делает реагент не проницаемым для мембран, поэтому он метит только внеклеточные участки поверхностных белков. Лёд (4 °C) останавливает эндоцитоз: если метить при 37 °C, уже меченые белки начнут активно интернализоваться и результат смажется. Отдельная деталь — SS-группа в спейсере позволяет потом при необходимости элюировать белок с бидов восстановителем, но в данной работе используется прямой pull-down и вестерн-блот.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Какой именно c-Src детектировали — тотальный или активированный?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Антитело на pSrc-Y416 (Cell Signaling #2101) — это фосфорилирование по Tyr416 в активационной петле, маркер именно активной формы c-Src. Это принципиально: классически считается, что разборку фокальных адгезий регулирует именно фосфо-Src-Y416, а не пул Src в целом. То есть статья показывает, что в MVB после Wnt уходит именно активированный c-Src — функционально значимая форма (данные в Figure S4).</w:t>
      </w:r>
    </w:p>
    <w:p>
      <w:r>
        <w:rPr>
          <w:b/>
          <w:color w:val="2E508A"/>
          <w:sz w:val="28"/>
        </w:rPr>
        <w:t>Данные RNA-seq по HCC-клеткам — о них на слайдах не говорили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Что конкретно показал RNA-seq на клетках HCC-Alexander с мутацией Axin1?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Клетки HCC-Alexander имеют делецию GSK3-связывающего домена Axin1 → конститутивная активация Wnt. Авторы сделали GSEA по BioCarta Integrin pathway (34 гена) и сравнили их с клетками, в которых восстановлен полноразмерный Axin1 дикого типа. Результат: при гипер-Wnt (мутант Axin1) существенно снижены транскрипты TLN1 (talin 1) и ITGβ1. То есть устойчивая активация Wnt не только быстро убирает ITGβ1 с поверхности эндоцитозом, но и в долгой перспективе снижает сам уровень его транскрипции. Данные депонированы в GEO под номером GSE193381 (четыре независимых культуры).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Была ли в этом RNA-seq связь с EMT, и какая именно?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Да, и довольно выразительная. При восстановлении Axin1 дикого типа экспрессия CDH1 (E-кадгерин, основной кадгерин этих клеток) растёт на 41% (adjusted p = 0.003 при квадруплицированных образцах). Одновременно экспрессия транскрипционного фактора Twist2 — одного из классических драйверов EMT — падает на 62% (adjusted p ≈ 0.005). То есть направление изменений при подавлении Wnt совпадает с разворотом EMT-программы: больше E-кадгерина, меньше Twist2, больше ITGβ1 и фокальных адгезий. Эти данные не упоминаются в основных фигурах и обычно «теряются» в slideshow.</w:t>
      </w:r>
    </w:p>
    <w:p>
      <w:r>
        <w:rPr>
          <w:b/>
          <w:color w:val="2E508A"/>
          <w:sz w:val="28"/>
        </w:rPr>
        <w:t>Supplemental-эксперименты, которые редко выносят в презентацию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Есть ли прямое измерение β-катенин-сигнала, а не только морфология?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Да, в supplemental (Figure S5): классический BAR-репортер — β-catenin Activated Reporter c люциферазой, нормализованный на Renilla. Animal cap инжектировали BAR-Luciferase (50 пг) + CMV-Renilla (5 пг) + Wnt8myc (0.5 пг) ± мРНК человеческого ITGβ1 дикого типа или доминант-негативного (400 пг). Dominant-negative hITGβ1 (конструкт Retta et al., 1998) подавляет β-катенин-репортер по сравнению с WT-hITGβ1. То есть у Wnt → β-катенин сигнала есть не только феноменологическая, но и транскрипционная зависимость от ITGβ1, измеренная люциферазой. Это важное дополнение к эмбриональному assay.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Вы сказали, что LiCl «имитирует Wnt». Что с ним конкретно делали и зачем?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LiCl — ингибитор GSK3, классический суррогат Wnt-сигнала в эмбрионах. В animal cap эмбриона Xenopus, засеянных на фибронектин и экспрессирующих membrane-GFP + Lifeact (маркер F-актина), LiCl в течение 20 минут вызывает макропиноцитарные рыхления мембраны и, что особенно важно, направленную миграцию клеток (видеозапись Video S4). Это развивает идею, что Wnt через GSK3 не только формирует MVB, но и перепрограммирует клетку в «мигрирующее» состояние — косвенный аргумент в пользу EMT-подобного ответа.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Использовался ли любой другой «суррогатный» активатор макропиноцитоза для контроля?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Да — онкогенный HRas (G12V) в NIH-3T3 фибробластах (Figure S1C, Video S3). Экспрессия HRas-GFP классически индуцирует массивный макропиноцитоз — это независимая от Wnt активация того же процесса. Визуально паттерн мембранных рыхлений при LiCl в animal cap и при HRas-G12V в 3T3 очень похож. Это подкрепляет вывод, что Wnt запускает именно макропиноцитоз, а не какой-то специфический «Wnt-эндоцитоз».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Есть ли доказательства, что Wnt-индуцированный LRP6-сигналинг сам по себе колокализуется с фокальными адгезиями, без экзогенного Wnt?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Да, в Figure S2: трансфекция конструкта CA-LRP6-GFP (constitutively active, без экстрацеллюлярного домена) формирует MVB и даёт колокализацию с эндогенным зиксином. То есть эффект «FA → MVB» достигается не только добавлением рекомбинантного Wnt3a, но и внутренним включением LRP6-сигнала. Это более генетический, чем фармакологический аргумент.</w:t>
      </w:r>
    </w:p>
    <w:p>
      <w:r>
        <w:rPr>
          <w:b/>
          <w:color w:val="2E508A"/>
          <w:sz w:val="28"/>
        </w:rPr>
        <w:t>Литературный контекст — почему авторы выбрали именно такую постановку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Что за история с Kindlin-2 и почему это важный прецедент?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Yu et al. (2012, EMBO Rep) показали, что Kindlin-2 — белок фокальных адгезий, регулирующий аффинитет интегринов — способен напрямую связываться с β-катенином и TCF4, образуя транскрипционный комплекс, усиливающий Wnt-сигналинг в опухолях. Это первый прямой молекулярный мост между FA и Wnt, и именно он подсказывал, что два пути должны быть связаны. Работа Tejeda-Muñoz добавляет к этому мосту второй — через мембранный трафик, а не через ядерную транскрипцию.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А что по поводу жёсткости матрикса и FAK — там же тоже связка с Wnt?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Да, Du et al. (2016, Scientific Reports) показали, что жёсткость ECM индуцирует транскрипцию Wnt1 через интегрин/FAK-путь. То есть литература знает «прямой» канал: матрикс → FAK → Wnt1. Новизна обсуждаемой статьи — обратный канал: Wnt → эндоцитоз интегринов → разборка FA. Вместе получается контур с обратной связью, а не однонаправленный сигнал.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Почему ESCRT — а не Rab5 или Rab7 — ключевая машинерия здесь?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Исторический аргумент: Taelman et al. (2010, Cell) показали, что именно ESCRT-зависимое секвестрирование GSK3 внутрь MVB необходимо для стабильного β-катенин-сигнала. Плюс Tu et al. (2010, PNAS) нашли, что ESCRT регулирует трафик c-Src между эндосомами и FA. То есть ESCRT уже был «подозреваемым» общим звеном. Rab5 и Rab7 управляют ранними и поздними эндосомами соответственно, но не формированием интралюминальных везикул, за которое отвечает именно ESCRT-III/Vps4. А доказать MVB без показа интралюминального компартмента нельзя.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Wnt-STOP уже был известен; чем принципиально отличается эффект на ITGβ1?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Wnt-STOP (Kim 2009; Acebron 2014) описывает стабилизацию десятков GSK3-субстратов при секвестрации GSK3 в MVB. То есть там логика «падает GSK3 в цитозоле → накапливаются её субстраты». ITGβ1 — наоборот: белок не стабилизируется, а физически перемещается с поверхности в MVB. Это принципиально другой механизм: не «не-деградация» субстрата, а перераспределение трансмембранного белка через общую макропиноцитарную машинерию. По сути, расширение Wnt-сигнала с «фосфо-сигнального» языка на «транспортный».</w:t>
      </w:r>
    </w:p>
    <w:p>
      <w:r>
        <w:rPr>
          <w:b/>
          <w:color w:val="2E508A"/>
          <w:sz w:val="28"/>
        </w:rPr>
        <w:t>Общие соображения и критические вопросы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Почему авторы так уверены, что мы видим именно макропиноцитоз, а не CME?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Три аргумента. Размер везикул 200 нм – 5 мкм — это диапазон макропиноцитоза; клатриновые ямки дают везикулы &lt; 100 нм, видимые только в ЭМ. Второе — морфология: плазменные ruffles и циркулярные dorsal ruffles, характерные именно для макропиноцитоза (Pak1-зависимого). Третье — зависимость от ESCRT-III/Vps4 (Vps4-EQ блокирует эффект), тогда как CME формально не требует именно Vps4 для попадания груза в сам клатриновый пузырёк. Впрочем, в литературе (Gu et al., 2011) известны случаи интегринового трафика через circular dorsal ruffles и макропиноцитоз, так что этот выбор соответствует общей картине поля.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Не может ли тут работать просто эффект разведения/дестабилизации мембраны от membrane ruffling, а не специфический эндоцитоз ITGβ1?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Если бы это был общий ruffling-артефакт, то падал бы и TfR, и CD63, и любой другой поверхностный маркер. Но поверхностный биотин на TfR не меняется (Figure 3). Плюс эффект чётко отменяется доминант-негативным Vps4-EQ — то есть он требует работающей ESCRT-машинерии, а не просто механической перестройки плазмалеммы. Это делает неспецифическое объяснение маловероятным.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Насколько аналогия с «десенсибилизацией RTK через эндоцитоз» уместна?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Достаточно уместна как концептуальная рамка. У классических RTK (EGFR, VEGFR) лиганд индуцирует собственный эндоцитоз рецептора, и это ограничивает длительность сигнала. Здесь механизм сложнее: эндоцитозируется не только рецепторный комплекс (Frizzled/LRP6/Dvl/GSK3), но и «посторонний» белок — ITGβ1. И аналогия с десенсибилизацией работает не прямо, а через связку: Wnt убирает ITGβ1, а ITGβ1 нужен для полноценного Wnt-ответа (по Xenopus-модели) — получается отрицательная обратная связь второго уровня. То есть не «сам себя выключает», а «через кофактор».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Почему вообще эволюционно две такие разные системы — Wnt и интегрины — могли сцепиться через макропиноцитоз?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Обе системы крайне древние: Wnt и β-субъединицы интегринов есть уже у губок и кораллов (Brower 1997; Loh 2016). Макропиноцитоз — тоже очень древний механизм, родственный фагоцитозу, и у одноклеточных он был способом питания. Логично, что в эволюции многоклеточности один древний транспортный механизм оказался «перехвачен» разными сигнальными путями. Макропиноцитоз как общий «загрузочный» путь делает сцепку Wnt ↔ интегрины скорее ожидаемой, чем парадоксальной.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Чем клинически ценнее таргетировать макропиноцитоз, чем сам Wnt?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Сам Wnt-путь плохо поддаётся таргетированию: рецепторы избыточны, β-катенин — внутриядерный фактор без удобного кармана для ингибитора. Макропиноцитоз же — это актин- и Pak1-зависимый процесс с известными фармакологическими мишенями (Pak1, V-ATPase, NHE1). Ramirez et al. (2019) уже показали, что V-ATPase контролирует макропиноцитоз при мутантном RAS; аналогичные подходы могут работать и при гипер-Wnt. Плюс таргетирование трафика потенциально универсальнее — одна мишень может «гасить» сразу Wnt и обеспечивать рестэбилизацию фокальных адгезий, снижая инвазивность.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Почему для выводов об EMT этой статьи ещё недостаточно — что бы вы хотели увидеть дополнительно?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Строго EMT требует показать: (1) потерю эпителиальных маркеров (E-кадгерин) на уровне белка и их повторное восстановление при выключении Wnt; (2) переход в мезенхимальные маркеры (виментин, N-кадгерин); (3) приобретение инвазивности в 3D-инвазивных ассеях (например, в коллагене I или в Matrigel). Здесь пока есть падение E-кадгерина и ITGβ1 на уровне транскрипции (RNA-seq) + движение клеток в animal cap — это сильный намёк, но ещё не EMT по классическим критериям. Нужны 3D-assay и time-course на культуре млекопитающих — это и будет логичным продолжением.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Как это всё стыкуется с тем, что c-Src сам разрушает фокальные адгезии — получается, он «соучастник», а не «мишень»?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Именно так. В норме активированный c-Src (pY416) локализуется в FA и через фосфорилирование компонентов FA способствует их динамическому разборку при миграции. Wnt, по данным статьи, ускоряет этот процесс радикально: весь пул активного c-Src перекочёвывает вместе с ITGβ1 в MVB (Figure S4). Плюс Yokoyama &amp; Malbon (2009) показали, что c-Src ещё и фосфорилирует Dvl2, ограничивая Wnt-транскрипцию. То есть c-Src — многофункциональный узел, участвующий и в сборке-разборке FA, и в обратной регуляции Wnt. В этой схеме Wnt использует c-Src как «соинструмент», а не как противника.</w:t>
      </w:r>
    </w:p>
    <w:p>
      <w:r>
        <w:rPr>
          <w:b/>
          <w:sz w:val="26"/>
        </w:rPr>
        <w:t xml:space="preserve">Вопрос. </w:t>
      </w:r>
      <w:r>
        <w:rPr>
          <w:sz w:val="26"/>
        </w:rPr>
        <w:t>Нельзя ли объяснить всё тем, что Wnt3a механически дестабилизирует актин-интегриновое крепление и FA просто разваливаются «сами собой»?</w:t>
      </w:r>
    </w:p>
    <w:p>
      <w:pPr>
        <w:spacing w:after="200"/>
      </w:pPr>
      <w:r>
        <w:rPr>
          <w:b/>
          <w:sz w:val="26"/>
        </w:rPr>
        <w:t xml:space="preserve">Ответ. </w:t>
      </w:r>
      <w:r>
        <w:rPr>
          <w:sz w:val="26"/>
        </w:rPr>
        <w:t>Это интересная альтернативная гипотеза, но данные statute её плохо поддерживают. Если бы это был чисто механический развал, ITGβ1 диффузно размазывался бы по мембране или уходил в ранние эндосомы, а не концентрировался в ESCRT-зависимых, Proteinase K-защищённых MVB-структурах, колокализованных с компонентами Wnt-пути. Тот факт, что именно Vps4-EQ блокирует эффект, означает активный, регулируемый транспорт, а не пассивное разрушение.</w:t>
      </w:r>
    </w:p>
    <w:p>
      <w:pPr>
        <w:jc w:val="center"/>
      </w:pPr>
      <w:r>
        <w:rPr>
          <w:i/>
          <w:sz w:val="20"/>
        </w:rPr>
        <w:t>Всего подготовлено вопросов: 23. Все ответы основаны на полном тексте статьи (включая Supplemental и STAR Methods), цитируемой литературе и общих принципах клеточной биологии.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