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Andrew Estrada, Jason Luttrell, Anthony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rtl w:val="0"/>
        </w:rPr>
        <w:t xml:space="preserve">CSD200-T301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111 Milestone 2 Reports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2/23/25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Employee Work Hours: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-currently the CEOs are contributing the most amount of hours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-those with the least amount of total recorded hours are not full-time employees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-Q1 has the least amount of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Suppliers: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06455" cy="430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5" cy="43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-25 deliveries on time, 38 late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-Lightning Ships and Bottled Up Co. have the most late arrivals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-we suspect problems with the trucks themselves or the delivery routes.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-January has the most amount of on-time deliveries; all deliveries in May are late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-late deliveries were at most 4 days late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Wine Distribution: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-merlot is extremely popular, chardonnay is not quite selling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-possible distribution contract needed to expand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-Sherpack and Company carry Merlot, Bottle Flip and Park Lake carry Cabernet, D &amp; D carrie Chardonnay, Mediator carries Chablis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-Cabernet popular in cold season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-plan for Merlot in the warm season, Chardonnay in the spring season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