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Diagnostics Obligatoires pour l'Immeuble ID: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Type Diagnostic</w:t>
            </w:r>
          </w:p>
        </w:tc>
        <w:tc>
          <w:p>
            <w:r>
              <w:t>Date Diagnostic</w:t>
            </w:r>
          </w:p>
        </w:tc>
        <w:tc>
          <w:p>
            <w:r>
              <w:t>Statut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Amiante</w:t>
            </w:r>
          </w:p>
        </w:tc>
        <w:tc>
          <w:p>
            <w:r>
              <w:t>2023-01-10</w:t>
            </w:r>
          </w:p>
        </w:tc>
        <w:tc>
          <w:p>
            <w:r>
              <w:t>Valide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