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Ресурсы сопровождения старшеклассников 8-11 классов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Аналитический обзор для проектирования собственной системы. Дата: 27.09.2026. Охват: Россия + зарубежье. Метод: глубокое исследование, 10 направлений x 2 раунда.</w:t>
      </w:r>
    </w:p>
    <w:p>
      <w:pPr>
        <w:pStyle w:val="Heading2"/>
        <w:spacing w:after="100" w:before="200"/>
      </w:pPr>
      <w:r>
        <w:t xml:space="preserve">Задача и метод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Изучить существующие ресурсы сопровождения школьников 8-11 классов в достижении образовательной успешности - их структуру, эффективность, стоимость и обслуживание/поддержание - с целью в будущем спроектировать на их основе собственную комплексную систему сопровождения.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Метод: глубокое исследование, 10 тредов x 2 раунда, охват Россия плюс зарубежье.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Сквозная критическая рамка: заявления об эффективности из пиар-отчётов считаются недоказанными, пока нет первичного измерения (метаанализ, РКИ, рецензируемая статья, независимая статистика).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Везде, где такого измерения нет, эффект помечен как заявленное, но не измеренное.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Существующие ресурсы делятся на 5 типов: онлайн-школы и курсы, тьюторские службы, наставнические модели, олимпиадные центры и СУНЦ, профориентация и ППС, плюс технологическая обвязка. Доказанная иерархия по силе влияния на академические баллы такова.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Размер эффекта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измеряет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Высокодозированное репетиторство 1:1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d~0.29-0.37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Академические баллы (самый сильный эффект)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Адаптивная онлайн-платформа при сопровождении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0.06-0.47 SD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Баллы, зависит от дозы и учителя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Наставничество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g~0.21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Психосоциальные исходы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Профориентация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~0.42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Знания и убеждения о карьере, НЕ баллы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Ключевой перевёрнутый вывод: самый ценный и самый дорогой компонент - живой человек (тьютор или наставник), а не контент. Контент и платформа должны масштабировать тьютора, а не заменять его. Второй вывод: российская практика почти синоним охвата и самоотчётов - собственной системе нужно закладывать измеримые метрики с самого старта.</w:t>
      </w:r>
    </w:p>
    <w:p>
      <w:pPr>
        <w:pStyle w:val="Heading2"/>
        <w:spacing w:after="100" w:before="200"/>
      </w:pPr>
      <w:r>
        <w:t xml:space="preserve">Ключевые находки по типам ресурсов</w:t>
      </w:r>
    </w:p>
    <w:p>
      <w:pPr>
        <w:pStyle w:val="Heading3"/>
        <w:spacing w:after="100" w:before="200"/>
      </w:pPr>
      <w:r>
        <w:t xml:space="preserve">1. Онлайн-школы и курсы (Россия)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Две бизнес-модели. Массовые потоковые школы (Умскул, Фоксфорд): вебинары, куратор на 60-90 учеников, цены от ~5-9 тыс. руб. в месяц за предмет. Школы с зачислением (ИнтернетУрок, Онлайн-школа N 1): видеозаписи плюс аттестат, цены выше (9-11 класс: 13 838 руб./мес ИнтернетУрок; мини-классы Онлайн-школы N 1 от ~22 тыс. руб./мес).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Роль куратора - ключевая точка удержания, но сильно масштабируется: Умскул от 1:43 до 1:90 учеников, рабочий день куратора 10-22 часа, KPI-давление, риск выгорания и текучки.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«Средний балл 80 плюс» у всех школ - самоотчёты, независимого аудита нет, выборка смещена. Это маркетинг, а не измеренный результат.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Технология и цена платформы: готовые LMS (Moodle бесплатно плюс хостинг; iSpring Suite 47-67 тыс. руб./год; GetCourse от 4,4-5,9 тыс. руб./мес) закрывают базовый функционал за подписку; собственная разработка MVP - 1-3 млн руб., полная платформа - 3-10+ млн руб.</w:t>
      </w:r>
    </w:p>
    <w:p>
      <w:pPr>
        <w:pStyle w:val="Heading3"/>
        <w:spacing w:after="100" w:before="200"/>
      </w:pPr>
      <w:r>
        <w:t xml:space="preserve">2. Зарубежные платформы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Khan Academy - лучший доказательный и переносимый образец: мастерство-ориентированная, ядро бесплатно, Khanmigo-ИИ 4 долл./мес; РКИ: 0.06-0.14 SD при сопровождении, 0.44-0.47 SD при высокой дозе и лаборатории, 0.12-0.22 на 11 тыс. учеников. Эффект прямо растёт с дозой и поддержкой учителя.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ALEKS, DreamBox, MATHia - адаптивные ITS, но метаанализ ALEKS (15 исследований) показал: хорош, но не лучше традиционного урока. Разделяет заявленное (ИИ-адаптивность) и измеренное (не превосходит классику).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IXL, Duolingo - сильная геймификация и удержание, но эффекты на подростков квази-экспериментальны и малы.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Kumon, Outschool - человекоцентричные модели (франшиза 102-234 тыс. долл.; рынок живых уроков 5-36 долл./урок), доказательная база для подростков слабая.</w:t>
      </w:r>
    </w:p>
    <w:p>
      <w:pPr>
        <w:pStyle w:val="Heading3"/>
        <w:spacing w:after="100" w:before="200"/>
      </w:pPr>
      <w:r>
        <w:t xml:space="preserve">3. Тьюторские службы (Россия)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Точечная статусная практика, не массовая: Школа ЦПМ (около 30 тьюторов, очно 81-95 тыс. руб./мес, дистант 57 тыс.), «Школа будущего» пос. Большое Исаково (полная поточно-групповая модель, старт с июля после 9 класса). В обычной школе тьютор либо отсутствует, либо совмещает роль с классным руководством или психологом.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Стоимость: частный тьютор на рынке 1,5-4 тыс. руб./час (агрегаторные данные, не подтверждены первично). Кадровый резерв - МТА (500+ членов, 13 отделений), кафедра тьюторства МПГУ.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Контрольных измерений влияния тьютора на баллы ЕГЭ и поступление в открытых источниках нет - всё на самоотчётах (ИОМ, форсайты, профориентация).</w:t>
      </w:r>
    </w:p>
    <w:p>
      <w:pPr>
        <w:pStyle w:val="Heading3"/>
        <w:spacing w:after="100" w:before="200"/>
      </w:pPr>
      <w:r>
        <w:t xml:space="preserve">4. Наставничество (зарубежные модели и доказательства)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BBBSA (эталон): пара 1:1 обычно не менее года, 2-4 встречи в месяц, строгий скрининг, обучение и мониторинг; стоимость 4-6 тыс. долл. на участника (или 2-3 тыс. долл./матч/год), ROI около 7 тыс. долл. налогов на человека; финансирование грантами и донатами. РКИ дают снижение рисков на 20-40%, но академические исходы скромнее психосоциальных.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Метаданные (Raposa 2019, DuBois 2011): менторинг даёт g~0.21, эффект сильнее у юношей, при более коротких встречах, у наставников из помогающих профессий; длительность от 12 мес критична.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«Разговорное» наставничество успеваемость почти не двигает; целевой (академически направленный) менторинг в ~2 раза эффективнее неспецифического.</w:t>
      </w:r>
    </w:p>
    <w:p>
      <w:pPr>
        <w:pStyle w:val="Heading3"/>
        <w:spacing w:after="100" w:before="200"/>
      </w:pPr>
      <w:r>
        <w:t xml:space="preserve">5. Олимпиадные центры и СУНЦ (Россия)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Пирамида: «Сириус» (около 800 детей/мес, отбор по достижениям, бесплатно), ~92 региональных центра, СУНЦ при вузах (СУНЦ МГУ - 9 место RAEX, 53,4% олимпиадников; СУНЦ НГУ - 6 место). Для ребёнка очно почти бесплатно, финансируется государством и фондом.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Системный вывод: отбор строится на уже одержанных победах, то есть система усиливает уже успешных, а не растит новых (самоотбор). Официальных метрик добавленной стоимости (прогресс участника) нет - только охват и поступление.</w:t>
      </w:r>
    </w:p>
    <w:p>
      <w:pPr>
        <w:pStyle w:val="Heading3"/>
        <w:spacing w:after="100" w:before="200"/>
      </w:pPr>
      <w:r>
        <w:t xml:space="preserve">6. Профориентация и ППС (Россия)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Профминимум - единственная массовая и обязательная практика (с 01.09.2023, все школы, три уровня 40/60/80 часов в год, курс «Россия - мои горизонты» 34 занятия, «Билет в будущее»; охват более 8,5 млн школьников, 188 тыс. педагогов, 13-14 тыс. работодателей). Бесплатно для ученика.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Главная слабость - формализм: измеряется охват, а не осознанность и поступление по профилю; «диагностика без развития»; 75% учителей признают нехватку профориентационных ответов.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Платная ниша (профдиагностика 350-1290 руб., консультация до 22-25 тыс. руб.) косвенно показывает, где государственная система не закрывает спрос на индивидуальный разбор.</w:t>
      </w:r>
    </w:p>
    <w:p>
      <w:pPr>
        <w:pStyle w:val="Heading3"/>
        <w:spacing w:after="100" w:before="200"/>
      </w:pPr>
      <w:r>
        <w:t xml:space="preserve">7. Кружки и допобразование при вузах и школах (Россия)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Нацпроектная сеть: Точки роста (24 950), Кванториумы (232 - 428, бесплатно по госзаданию, финансирование 50% федеральное + 30% регион + не менее 20% предприятие), IT-кубы (190 - 340), центры «Сириус». Для ребёнка бесплатно.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Критичный пробел: отчётность ведётся по числу созданных площадок, а не по результатам (олимпиады/поступление); независимых аудитов эффективности нет; финансирование покрывает создание и оснащение, а содержание (зарплаты наставников, обновление оборудования) - нерегулярная нагрузка на регион.</w:t>
      </w:r>
    </w:p>
    <w:p>
      <w:pPr>
        <w:pStyle w:val="Heading3"/>
        <w:spacing w:after="100" w:before="200"/>
      </w:pPr>
      <w:r>
        <w:t xml:space="preserve">8. Технологическая основа и обслуживание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Рынок EdTech России 2025: онлайн-подготовка к экзаменам выросла на 50% до 19 млрд руб.; детский сегмент - 36% рынка (около 55 млрд руб.). Ниша востребована, но маркетинговые затраты растут.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Реалистичный бюджет: MVP на готовой платформе - 0,5-3 млн руб. в год; собственная разработка - 3-10+ млн руб. Ключевая дорогая и слабо окупаемая часть - собственный ИИ-тьютор и автопроверка; дешевле использовать готовые сервисы плюс человека.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Кадровая модель: куратор примерно на 20 учеников (для качества) до 43-90 (массовые школы); проверка домашних заданий от 100 руб./задание; методист 300-5000 руб./час; продюсер около 100 тыс. руб./мес.</w:t>
      </w:r>
    </w:p>
    <w:p>
      <w:pPr>
        <w:pStyle w:val="Heading2"/>
        <w:spacing w:after="100" w:before="200"/>
      </w:pPr>
      <w:r>
        <w:t xml:space="preserve">Синтез: рекомендованная архитектура собственной системы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 результатам исследования - единый контур «персональный тьютор, платформа, профориентация, кружки», в центре которого персональный трек (карта маршрута), а не набор разрозненных курсов.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Ядро - штатная тьюторская и наставническая служба (тонкая модель: студенты и магистранты под супервизией опытных педагогов; короткие сессии 20-30 мин, 2-3 раза в неделю; доказательно лучше многочасовых встреч). Тьютор ведёт и учебную диагностику, и профвыбор - снимает потребность в отдельной дорогой ППС-службе.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Онлайн-курсы ОГЭ и ЕГЭ (модель Фоксфорд/ИнтернетУрок) - предзаписанные короткие видеоуроки, тренажёры, пробные варианты. Это «материал» трека, без тьютора недостаточно (вывод Khan Academy).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Профориентация и ППС как встроенный этап - диагностика интересов плюс профпробы и экскурсии (модель «Билет в будущее»), давать управляемый «малый» выбор, не финальное «кастование» профессии.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Кружки при вузе или школе - только для сильных и мотивированных, как «пища для выбора» (олимпиады, проектные смены).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Цифровая платформа связывает всё: трек, расписание тьютора, доступ к курсам, метрики. Модель навигации - тьюторская служба ЦПМ.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Ключевой принцип: навигация и мотивация (тьютор) дороже контента (курсы). Контент дешевле масштабировать, поэтому тьютор «тонкий», а контент отборный.</w:t>
      </w:r>
    </w:p>
    <w:p>
      <w:pPr>
        <w:pStyle w:val="Heading2"/>
        <w:spacing w:after="100" w:before="200"/>
      </w:pPr>
      <w:r>
        <w:t xml:space="preserve">Этапность запуска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Срок и масштаб</w:t>
            </w:r>
          </w:p>
        </w:tc>
        <w:tc>
          <w:tcPr>
            <w:tcW w:type="pct" w:w="3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Цель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0. Прототип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3-6 мес, до 50 студентов, 2-3 предмета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Готовый/партнёрский контент, 1 педагог-тьютор на группу, ручной трек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Замерить удержание и входной/выходной тест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1. MVP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 год, 150-300 студентов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Платформа, тьюторская служба из студентов, пилот кружка при вузе, ППС модуль 4-6 встреч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Проверить модель сопровождения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2. Масштабирование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2-3 года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Полный набор предметов ОГЭ/ЕГЭ, сеть кружков, автоматизация трека, метрики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Рост охвата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3. Сеть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4-5 лет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Франшиза школам, B2G-контракты, кружки при нескольких вузах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Устойчивость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Модель устойчивости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Доходы (диверсификация): B2C-абонемент «курс + тьютор» (основной; ориентир рынка - онлайн-репетитор около 1200 руб./час), B2G/B2B-контракты со школами и вузами (тьюторская служба как услуга), B2G2C через госпроекты профориентации, premium-интенсивы к олимпиадам.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затрат: переменная часть - тьюторы (студенты, «тонкая» модель 1:N групп и короткие сессии), самая дорогая; фиксированная - платформа и видеозапись, дорого на старте, дешевеет на масштабе (запись курса один раз обслуживает многих).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Кадры: 1 методист-профориентатор на пул плюс студенты-тьюторы под супервизией плюс выпускники программ в роли следующих наставников (самовоспроизводство).</w:t>
      </w:r>
    </w:p>
    <w:p>
      <w:pPr>
        <w:pStyle w:val="Heading2"/>
        <w:spacing w:after="100" w:before="200"/>
      </w:pPr>
      <w:r>
        <w:t xml:space="preserve">Риски и метрики успеха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Риски: отсев и недоверие (измерять ежемесячно, тьютор как «клей» удержания); выгорание наставников (короткие сессии плюс супервизия плюс ротация); эффект не виден в баллах сразу (мерять и учебные, и психосоциальные метрики); ловушка «платформа без сопровождения» (всегда упаковка курс плюс тьютор); регуляторные (встраиваться в логику «Билет в будущее» и Профминимума).</w:t>
      </w:r>
    </w:p>
    <w:p>
      <w:pPr>
        <w:pStyle w:val="Heading3"/>
        <w:spacing w:after="100" w:before="200"/>
      </w:pPr>
      <w:r>
        <w:t xml:space="preserve">Метрики успеха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Учебные (жёсткие): прирост входного/выходного теста в SD; баллы ОГЭ/ЕГЭ (прирост к ожидаемому); доза контакта (число сессий тьютора - самый коррелируемый фактор).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Мотивационные: NPS и удовлетворённость; отсев и удержание (месячный коэффициент).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Осознанность выбора: career decidedness (опрос до и после модуля ППС); доля поступивших «по своему» выбору и не отсеявшихся на первом курсе (метрика дальних исходов).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Операционные: себестоимость на студента, стоимость одного пункта прироста балла.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(от 2 независимых источников): иерархия эффектов; «средний балл 80 плюс» как самоотчёт школ; охватный характер профминимума и нацпроектных площадок; самоотбор в олимпиадных центрах; точечность тьюторских служб; цены платформ.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Single-source или осторожно: ставка частного тьютора (агрегаторы); нагрузки на куратора (Умскул 43-90, по вакансиям и историям); некоторые показатели охвата.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Ключевой пробел всей российской практики: нет независимых измерений добавленной стоимости тьюторства, олимпиадных центров и профориентации - только охват и поступление. Это главная возможность для собственной системы.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Глубина: Exhaustive, 10 направлений плюс 1 верификационный раунд, 50+ уникальных источников. Часть первичных PDF (метаанализы ERIC, детали Kraft 2026) не распознана как текст.</w:t>
      </w:r>
    </w:p>
    <w:p>
      <w:pPr>
        <w:pStyle w:val="Heading2"/>
        <w:spacing w:after="100" w:before="200"/>
      </w:pPr>
      <w:r>
        <w:t xml:space="preserve">Источники (ключевые)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Онлайн-школы России: ИнтернетУрок (interneturok.ru), Умскул (umschool.net), MAXIMUM Education (maximumtest.ru), рейтинг РБК Курсы, Т—Ж о работе куратором.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Зарубежные платформы: Khan Academy research, метаанализ ALEKS, IXL research.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Тьюторские службы: Тьюторская служба ЦПМ, стоимость ЦПМ, МТА, практика Исаково.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Наставничество: метаанализы Raposa 2019 и DuBois 2011, BBBSA Blueprints, стандарт MENTOR.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Олимпиадные центры и СУНЦ: Сириус (критерии отбора), СУНЦ МГУ, СУНЦ НГУ, рейтинг RAEX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Профориентация и ППС: Минпросвещения (раздел профориентации), пресс-релиз об охвате, ПрофГид.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Кружки и допобразование: портал Объясняем.рф, Минпросвещения допобразование, Инженерные классы Росатома.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Эффективность компонентов: Nickow 2020 (NBER), Nickow 2023 (AERJ), Kraft 2026, Sisk 2018, школьная профориентация (ERIC).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Технологии и обслуживание: iSpring (прайс), Нетология о стоимости запуска курса, TAdviser онлайн-образование, Smart Ranking.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Синтез: принципы высокодозного репетиторства (Annenberg), метаанализ Whiston, Фоксфорд, ИнтернетУрок, Билет в будущее.</w:t>
      </w:r>
    </w:p>
    <w:p>
      <w:pPr>
        <w:pStyle w:val="Heading2"/>
        <w:spacing w:after="100" w:before="200"/>
      </w:pPr>
      <w:r>
        <w:t xml:space="preserve">Следующие шаги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Уточнить у заказчика целевую модель (школа, частная платформа, автономная служба) и географию (один город/школа или федерально).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Превратить «Этап 0 - Прототип» в конкретный план с бюджетом, кадровым составом и метриками (входной/выходной тест, доза контакта, календарь).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Просчитать экономику тьюторской службы: стоимость часа студента-тьютора под супервизией и порог безубыточности при ценах «курс плюс тьютор».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у первоисточника агрегаторные цены (частный тьютор, вакансии кураторов) перед закладкой в бюджет.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Ресурсы сопровождения старшеклассников 8-11 классов</dc:title>
  <dc:creator>GigaTool</dc:creator>
  <cp:lastModifiedBy>Un-named</cp:lastModifiedBy>
  <cp:revision>1</cp:revision>
  <dcterms:created xsi:type="dcterms:W3CDTF">2026-09-27T06:04:44.809Z</dcterms:created>
  <dcterms:modified xsi:type="dcterms:W3CDTF">2026-09-27T06:04:44.809Z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