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00" w:before="0"/>
      </w:pPr>
      <w:r>
        <w:t xml:space="preserve">Факторы, влияющие на образовательный результат старшеклассников (14–18 лет)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Критический научный обзор для руководителей школ, педагогов и родителей. Возраст 14–18 лет (8–11 классы). Все утверждения проверены, практики сопровождены ссылками на авторитетные источники, гипотезы отделены от доказанных фактов.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Документ синтезирует мировую и российскую научную литературу по шести блокам: нейробиология и физиология, психология, мотивация, доказательная педагогика, профориентация, социальные и цифровые факторы. Каждый тезис снабжён маркером уровня достоверности и простым пояснением для родителей — что это значит для вашего ребёнка и что разумно делать. Источники перечислены в конце и пронумерованы в порядке использования.</w:t>
      </w:r>
    </w:p>
    <w:p/>
    <w:p>
      <w:pPr>
        <w:pStyle w:val="Heading2"/>
        <w:spacing w:after="100" w:before="200"/>
      </w:pPr>
      <w:r>
        <w:t xml:space="preserve">Резюме (главное)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Мозг подростка созревает неравномерно: «эмоциональная» система (лимбическая) активна и чувствительна к вознаграждению раньше, чем «исполнительная» (префронтальная кора). Это объясняет рискованность, влияние сверстников и импульсивность, но открывает и окно высокой пластичности для обучения. [1][2][8]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Сон — самый управляемый физиологический фактор успеваемости: оптимум ~8 часов; меньше 6 и больше 10 часов связаны с более низкими результатами. Почти 40% подростков спят меньше нормы. [4][5]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Популярный миф о «неизбежном подростковом кризисе» (storm and stress) современной наукой опровергнут: большинство подростков проходят этот возраст благополучно, рисковое поведение атипично. [14]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Внутренняя (автономная) мотивация и субъективная ценность предмета устойчиво предсказывают настойчивость и успеваемость сильнее, чем внешние награды. Ожидаемые денежные/материальные награды подрывают внутреннюю мотивацию. [16][17][13]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Из техник обучения доказаны активное припоминание, распределённая и перемежающаяся практика, обратная связь и самообъяснение. Перечитывание, «стили обучения» и «левополушарные/правополушарные» — научно не подтверждены. [24][25][26][31]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Профориентация — это развитие карьерной адаптивности и идентичности через контакт с миром труда, а не «угадывание» профессии тестом. Тест — отправная точка для разговора, не готовый ответ. [33][34][35]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Эффект установки на рост (growth mindset) реален, но мал: по данным строгих метаанализов он слабее, чем позиционируется, и сосредоточен у слабоуспевающих учеников. [20][21]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Экранное время само по себе объясняет малую долю вариации благополучия (≤0,4%), но ночное использование и развлекательное использование в классе вредят сну и вниманию. Запрет телефонов в школах повышает результаты. [39][40][43]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В России действует единая модель профориентации («профминимум»), исследования ВШЭ фиксируют низкую определённость карьерных притязаний старшеклассников (профессию выбирают «случайно» чаще, чем «по призванию»). [48][49][51]</w:t>
      </w:r>
    </w:p>
    <w:p/>
    <w:p>
      <w:pPr>
        <w:pStyle w:val="Heading2"/>
        <w:spacing w:after="100" w:before="200"/>
      </w:pPr>
      <w:r>
        <w:t xml:space="preserve">1. Нейробиология и физиология подростка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1.1. Неравномерное созревание мозга («dual systems model»). Ключевая нейробиологическая рамка объясняет поведение подростка дисбалансом созревания двух систем: социоэмоциональная («лимбическая») система достигает пика чувствительности в середине подросткового возраста, тогда как исполнительная (латеральная префронтальная и теменная кора) созревает лишь к середине 20-х годов. Уровень: доказано в нескольких исследованиях и нейроанатомических данных. [1]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Для родителя: если подросток кажется вам «непоследовательным» — то вспыльчивым, то рассудительным, — это не плохое воспитание, а реальная незрелость отдела мозга, отвечающего за самоконтроль. Он физически ещё не готов всегда «включать голову». Поэтому важны не нравоучения, а спокойные правила, структура и поддержка, которые компенсируют этот временный дефицит.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1.2. Пик серого вещества. Объём серого вещества в лобной и теменной коре достигает пика около 11–12 лет, далее идёт длительное утоньшение (синаптический прунинг) во взрослом возрасте. Уровень: лонгитюдное МРТ-исследование. [1][8]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Для родителя: мозг в подростковом возрасте активно «чистит» лишние связи и укрепляет нужные. Это значит — сейчас особенно важно, чем именно занят ребёнок: то, на что он тратит часы (учёба, спорт, увлечения, но не бесцельное скроллинг), буквально «прописывается» в мозге. Занятия, которые вы поддерживаете сегодня, закрепляются надолго.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1.3. Дофаминовая система. Дофаминовые проекции от среднего мозга к префронтальной коре ещё не завершены. Лимбические области вознаграждения (nucleus accumbens) созревают раньше коры — усиление импульсивности. Присутствие сверстников повышает активность областей вознаграждения и рискованное поведение. Уровень: доказано (fMRI-эксперименты Chein, Gardner &amp; Steinberg). [2]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Для родителя: подростку физически «в кайф» то, что с ним одобряют друзья, — даже если это опасно или вредно. Поэтому компания имеет огромное влияние. Не запрещайте общение вообще (это вызовет бунт), а мягко подбирайте среду: секции, кружки, олимпиады, где «хорошая» компания. Один находиться с ребёнком в конкуренции с «толпой» тяжело — легче заранее поместить его в правильное окружение.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1.4. Сон: смещение фазы и продолжительность. С половым созреванием фаза сна сдвигается до ~2 часов (мелатонин выделяется позже) — отсюда трудности утреннего пробуждения при раннем начале уроков. Рекомендация для 14–17 лет — 8–10 часов (National Sleep Foundation / AASM). Исследование 54 тыс. китайских восьмиклассников: оптимум успеваемости ~8 часов (меньше 6 — худший балл, больше 10 — тоже спад); связь перевёрнутая U-образная. Почти 40% подростков спят менее 7 часов. Уровень: доказано (крупные когортные данные и консенсус обществ сна). [4][5]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Для родителя: если ребёнок «не высыпается» и плохо учится, первым делом проверьте сон, а не мотивацию. Подростку действительно трудно засыпать рано — его биологические часы сдвинуты. Установите режим: никаких экранов за 1–1,5 часа до сна (свет гаджетов «обманывает» мозг, подавляя гормон сна), тёмная тихая комната. Норма ~8 часов — «золотая середина»: и недосып, и пересып связаны с худшими результатами.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1.5. Когнитивное развитие и пластичность. В подростковом возрасте идёт масштабный прунинг синапсов в коре, что (по нейросетевому моделированию) лежит в основе улучшения рабочей памяти и обучения с подкреплением. Пластичность делает подростковый возраст «критическим окном» для обучения, хотя доля данных о человеке — гипотеза (часть — на животных). Уровень: прунинг доказан; функциональная интерпретация — модель/гипотеза. [8]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Для родителя: подросток сейчас способен учиться быстрее, чем во взрослом возрасте и чем в детстве. Не бойтесь нагружать его сложным, «взрослым» материалом (олимпиады, языки, программирование, музыка) — именно в эти годы новый навык ложится лучше всего. Не отправляйте его «догуливать» только Ради приятных воспоминаний — дайте и содержательные занятия.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1.6. Физическая активность и питание. Обзор 41 метаанализа: хроническая физическая активность связана со средним положительным эффектом на успеваемость; острая активность — без явных выгод; кратковременная не вредит. Уровень: umbrella review, эффекты малые/смешанные, причинность ограничена. Железодефицитная анемия — ведущая причина потерянных лет жизни у подростков и связана с худшими когнитивно-академическими показателями; эффективность добавок железа — смешанная. Уровень: связь доказана, эффект добавок — спорно. [6][7]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Для родителя: спорт — не «время, отнятое от учёбы», а вклад в неё: движение улучшает внимание и память. Достаточно регулярных нагрузок (спортсекция, быстрая ходьба) несколько раз в неделю. Отдельно — следите, чтобы у ребёнка не было хронической усталости и бледности: анемия (нехватка железа) реально снижает успеваемость. Если ребёнок постоянно вялый, сходите к врачу и проверьте железо — особенно у девочек.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1.7. Половое созревание. Пубертатные гормоны влияют на перестройку миндалины, гиппокампа, nucleus accumbens и дофаминергических путей. Сенсационная жажда связана скорее с пубертатной стадией, чем с возрастом. Есть предварительные данные о «пубертатном провале» в обработке эмоций (единичное исследование, требует воспроизведения). Уровень: механизмы на животных доказаны; на людях — предварительно. [8]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Для родителя: гормональная перестройка реально влияет на настроение и поведение ребёнка — это не «он стал плохим», а биология. В периоды особенно бурных эмоций не давите и не требуйте «взять себя в руки силой воли». Лучше быть эмоционально доступным: выслушать, не осуждая, и предложить безопасный выход (спорт, увлечение, разговор со специалистом, если тревога или подавленность затягиваются).</w:t>
      </w:r>
    </w:p>
    <w:p/>
    <w:p>
      <w:pPr>
        <w:pStyle w:val="Heading2"/>
        <w:spacing w:after="100" w:before="200"/>
      </w:pPr>
      <w:r>
        <w:t xml:space="preserve">2. Психология подростка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2.1. Идентичность (Марсия, Эриксон). Четыре статуса идентичности Марсии (диффузия, предрешённость, мораторий, достижение) основаны на осях «исследование × приверженность». Продольное исследование 1313 подростков (12–20 лет) подтвердило статусы и добавило 5-й («поисковый мораторий»): доля «достигших» растёт с 13,8% до 20,8% от 12–16 к 16–20 годам, доля диффузии падает с 20,2% до 17,2%. Уровень: классическая теория + продольные данные. [9]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Для родителя: ребёнок сейчас активно ищет ответ на вопрос «кто я?» — примеряет роли, меняет мнения, пробует разное. Это нормально, это и есть взросление. Не требуйте «уже реши, кем будешь». Поддерживайте исследование (кружки, пробы разных занятий), а не настаивайте на окончательном выборе — большинство находят себя постепенно, к 18–20 годам.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2.2. Самооценка и самоэффективность (Bandura). Метаанализ 68 продольных исследований (240 эффектов): успеваемость предсказывает академическую самооценку (β=0,16) и наоборот (β=0,08); связь реципрокная и усиливается в подростковом возрасте. Уровень: высокий. Самоэффективность буферизует связь «академический стресс → выгорание» (при низкой — наклон значим, при высокой — нет). Уровень: высокий. [10][11]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Для родителя: вера ребёнка в свои силы — это и результат успехов, и их причина. Если у ребёнка всё «валится из рук», сначала помогите получить маленький успех (разбейте большую задачу на мелкие шаги), а не критикуйте. Похвала и поддержка здесь важнее, чем «подстёгивание»: ребёнок, который верит в себя, лучше справляется со стрессом и меньше выгорает.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2.3. Эмоциональная регуляция и «storm and stress». Современная переоценка (после Arnett, 1999): выраженный «кризис» не норма. В 11 культурных группах негативные проявления атипичны (риски ≤ ~⅓ выборки), положительные индикаторы благополучия высоки. Средний подростковый возраст характеризуется самым малым репертуаром стратегий регуляции эмоций — объясняет «пик» переживаний без патологии. Уровень: высокий (обзоры 21 века). [13][14][15]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Для родителя: подростки в среднем НЕ обязаны быть несчастными и бунтующими — большинство проходит этот возраст благополучно. Но у них пока мало навыков справляться с эмоциями. Научите простым приёмам: назвать чувство словами, сделать паузу, выдохнуть, подвигаться. Ваше спокойное присутствие («я рядом, мы разберёмся») — лучшее «лекарство» от эмоциональных бурь.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2.4. Сверстники и социальное сравнение. «Эффект большой рыбы в маленьком пруду» (Marsh) — сравнение с обобщённым одноклассником стабильно снижает академическую самооценку, даже в сильных школах; в продольном сетевом исследовании (2438 подростков) влияние среднего по классу сильнее, чем влияние друзей. Уровень: высокий. [12]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Для родителя: попав в сильный класс или престижную школу, ребёнок может почувствовать себя «хуже всех» — даже если объективно он способный. Это не «разбалованность», а эффект сравнения с очень сильным окружением. Не ругайте, а объясните: «сравнивай себя с собой вчерашним, а не с соседом». И при очень сильном давлении подумайте: возможно, «топовая школа» приносит больше вреда самооценке, чем пользы баллам.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2.5. Автономия и отношения со взрослыми. Поддерживающая автономию позиция (учителя/родителя) улучшает эмоциональное состояние и вовлечённость; психологический контроль связан с внутренними проблемами. Миф о «storm and stress» у взрослых ведёт к ограничению возможностей подростков «воплощать зрелость» — усиливает оппозиционность. Уровень: высокий. [15][16]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Для родителя: чем больше вы держите подростка «на коротком поводке» и решаете за него, тем сильнее он сопротивляется. Давайте ему настоящую самостоятельность там, где это безопасно: сам планирует день, сам отвечает за свои дела, сам выбирает (в разумных рамках). Чем больше доверия, тем меньше бунта и лучше вовлечённость.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2.6. Тревожность, стресс, выгорание. По данным ВОЗ, 1 из 7 подростков 10–19 лет имеет психическое расстройство (тревожные расстройства 4,1% у 10–14 лет и 5,3% у 15–19 лет; депрессия 1,3% и 3,4%). Суицид — третья причина смерти у 15–29-летних. Академический стресс предсказывает тревожность и выгорание (с опосредованием ~16%). Уровень: высокий (эпидемиология ВОЗ + исследования выгорания). [11]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Для родителя: тревожность у старшеклассников — не редкость, а реальная проблема, чаще к 15–19 годам. Обращайте внимание не только на оценки, но и на состояние: стойкая подавленность, нарушение сна и аппетита, потеря интереса, раздражительность дольше 2–3 недель — повод обратиться к специалисту (школьный психолог, врач), а не «перетерпеть». Не обесценивайте: «нечего переживать» — худшая реакция. Поддержка и спокойная среда очень важны.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2.7. Мифы. «10% мозга», «левополушарные/правополушарные», «стили обучения» — нейромифы; среди учителей им верят десятки процентов (дело 10% — до 48%, лево/право — до 91%). Негативный образ подростка — форма возрастного предубеждения (ageism), порождающая самосбывающиеся пророчества. Уровень: высокий. [31][32][33]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Для родителя: не верьте красивым мифам («спи, мозг используешь на 10%», «он у меня визуал, ему так удобнее»). Они красивые, но не работают. Определяющий фактор — не «тип восприятия», а регулярная, целенаправленная работа. И главное: если вы ждёте от подростка проблем («переходный возраст, сейчас начнётся…»), велик риск, что они и начнутся. Настраивайтесь на благополучный сценарий — и он вероятнее.</w:t>
      </w:r>
    </w:p>
    <w:p/>
    <w:p>
      <w:pPr>
        <w:pStyle w:val="Heading2"/>
        <w:spacing w:after="100" w:before="200"/>
      </w:pPr>
      <w:r>
        <w:t xml:space="preserve">3. Мотивация к обучению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3.1. Самодетерминационная теория (Deci &amp; Ryan). Три потребности — автономия, компетентность, связанность; их удовлетворение ведёт к автономной (внутренней) мотивации, благополучию и лучшему обучению. Поддерживающая автономию среда усиливает мотивацию; контролирующие практики ослабляют. Уровень: доказано (устоявшаяся макро-теория). [13]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Для родителя: ребёнок учится лучше, когда сам понимает «зачем» и чувствует, что у него есть выбор, что он умеет (компетентен) и что его принимают. Принуждение «делай, потому что я сказал» — самый слабый двигатель. Работает объяснение смысла и уважительное отношение: «учёба — это твой выбор и твой шанс», а не «делай уроки, я сказал».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3.2. Теория ожиданий и ценности (Eccles &amp; Wigfield). Модель из ожиданий успеха и субъективной ценности задачи (STV = 4 компонента: интерес, утилитарность, значимость, издержки). Ожидания — сильнейший предиктор последующей успеваемости; значимость — предиктор намерения продолжать предмет. Мотивация падает между 5-м и 9-м классами, резче всего при переходе в среднюю школу («stage-environment fit»). Уровень: доказано (40+ лет, продольные данные). [17]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Для родителя: ребёнок охотно берётся за предмет, если (а) верит, что справится, и (б) видит в нём ценность. Падение интереса к учёбе в подростковом возрасте — закономерно, не паникуйте. Покажите практическую пользу предметов для будущего («математика нужна на бюджете в вузе», «физика открывает инженерные профессии») — это сильнее, чем «учи, потому что надо».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3.3. Вовлечённость (Fredricks et al.). Три измерения — поведенческое, эмоциональное, когнитивное; ключевое свойство — податливость к контексту. При фрустрации потребностей/ценности подросток входит в «демотивационный цикл» (интерпретация на основе данных Eccles и модели Fredricks). Уровень: конструкт доказан; «цикл» — гипотеза/интерпретация. [18]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Для родителя: когда ребёнок «махнул рукой» на учёбу, это не лень, а реакция на неудачи — демотивационный круг. Разорвать его можно только маленьким успехом и поддержкой, а не «соберись». Хвалите даже небольшие сдвиги, помогайте с тем, что не получается. Раз не получается сам — дайте помощника (репетитора, тьютора) до того, как ребёнок окончательно разуверится.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3.4. Поток (Csikszentmihalyi). Условия входа в поток: баланс сложности и навыка (задача «чуть за пределами» текущих умений), ясные цели, немедленная обратная связь, полное погружение. Уровень: доказано как феномен и условия. [19]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Для родителя: ребёнок «горит» делом, когда задача ни слишком лёгкая (скучно), ни непосильная (страшно), а чуть-чуть сложнее, чем он уже умеет. Подбирайте ему уровень нагрузки под силу и давайте понятную цель и быструю обратную связь. Задача «на грани возможностей» — это и есть зона лучшего обучения и интереса.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3.5. Установка на рост (Dweck) — доказанно малый эффект. Строгие метаанализы и крупные эксперименты: корреляция установки с успеваемостью r≈0,10 (≈1% дисперсии); эффект интервенций d≈0,08; в национальном эксперименте (Nature, 2019) эффект на балл слабоуспевающих B=0,10 (SMD 0,11) при n=6320 девятиклассников в 65 школах; после коррекции на публикационное смещение эффект близок к нулю. Уровень: само существование малого эффекта — доказано; популярные обещания — преувеличены. [20][21][22]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Для родителя: фраза «ты можешь вырасти, если будешь стараться» лучше, чем «ты просто такой». Но не ждите чуда: сам по себе позитивный настрой почти не двигает оценки. Установка на рост — это лишь часть, работать нужно ещё и с реальными техниками обучения и достаточной практикой. Народные курсы «развивай мышление роста» не стоит переоценивать.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3.6. Внешние награды и внутренняя мотивация. Эффект сверхоправдания: ожидаемая материальная награда за уже внутренне мотивированную деятельность снижает внутреннюю мотивацию (метаанализ 128 исследований: d от −0,28 до −0,40 для ожидаемых наград; вербальная похвала скорее усиливает). Уровень: доказано для указанных условий. [17]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Для родителя: не покупайте учёбу деньгами («поставь пятёрку — дам X рублей»). Ожидаемая денежная награда за то, что ребёнок уже любит, убивает интерес: он начинает делать «за деньги», а потом без мотивации. Куда полезнее словесная похвала за конкретные усилия и поддержка («ты отлично разобрался в этой теме») — она поддерживает внутренний интерес, а не подменяет его.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3.7. Практический вывод для профориентации. Рабочая с субъективной ценностью и представлениями об успехе (показать пользу предмета, связать с профессиональными целями) важна не меньше, чем работа «со склонностями». Уровень: доказано. [17]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Для родителя: связывайте школьные предметы с реальными профессиями и целями ребёнка. «Зачем мне геометрия?» — ответ «пригодится инженеру, архитектору, программисту» работает лучше, чем «так положено». Сходите вместе на день открытых дверей, посмотрите профессии, обсудите, что нравится. Это насыщает учёбу смыслом.</w:t>
      </w:r>
    </w:p>
    <w:p/>
    <w:p>
      <w:pPr>
        <w:pStyle w:val="Heading2"/>
        <w:spacing w:after="100" w:before="200"/>
      </w:pPr>
      <w:r>
        <w:t xml:space="preserve">4. Доказательная педагогика: что работает, а что нет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4.1. Рейтинг Хэтти (Visible Learning) — ценная эвристика, но не точная шкала. Большие и устойчивые эффекты: коллективная эффективность учителей, обратная связь, самоотчётная оценка, предыдущие способности. НО методология (синтез метаанализов, фикс-эффекты, двойной подсчёт) критикуется статистиками (Bergeron — «псевдонаука»; «blind spots»; сами авторы признали искажения). Использовать как ориентир, опираясь на прямые метаанализы. Уровень: существование критики — доказано; точные эффект-размеры — умеренно. [22][23]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Для родителя: есть много «рейтингов» и «методик», которые продают как панацею. К ним нужно относиться спокойно. Действительно важно немногое: хороший учитель, регулярная обратная связь и адекватная оценка ребёнка. Не гонитесь за «волшебной методикой» — основа это качество обучения и поддержка.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4.2. Активное припоминание (retrieval practice). Метаанализ 272 эффектов: +0,51 против перечитывания, +0,93 против отсутствия практики; тесты с выбором ответа эффективнее свободного воспроизведения на коротком промежутке. Уровень: высокий. [25]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Для родителя: лучший способ запомнить материал — это не перечитывать конспект, а активно вспоминать: закрыть учебник и попробовать пересказать/ответить на вопросы, решить тест. Это неудобно, но именно так мозг укрепляет память. Помогите ребёнку устроить самопроверку (карточки, вопросы, мини-тесты) — эффект заметно выше простого «прочитать ещё раз».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4.3. Распределённая и перемежающаяся практика. Распределённая практика (spacing) — метаанализ ~839 оценок в 317 экспериментах. Чередование (interleaving) предметов/задач — рандомизированные испытания в математике (Rohrer). Уровень: высокий по направлению; точный эффект-размер interleaving требует сверки с первичным метаанализом. [26][27]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Для родителя: заниматься «понемногу, но регулярно» в несколько раз эффективнее, чем «всё в последнюю ночь». И лучше чередовать темы/предметы, а не учить одну тему часами подряд. Пусть ребёнок повторяет материал несколько раз с промежутками (например, раз в неделю), а не корпит над одним параграфом три часа. Это снимает и стресс перед экзаменами.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4.4. Обратная связь и формативное оценивание. Классический метаанализ Kluger &amp; DeNisi (131 исследование): средний эффект ≈0,38–0,41, но около трети эффектов — отрицательные (форма подачи критична). Прямой метаанализ 2020 г. (435 исследований): общий d=0,48, сильнее для когнитивных/моторных исходов, слабее для мотивации. Цифры Хэтти 0,70–0,79 завышены. Уровень: высокий. [28]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Для родителя: важна не оценка сама по себе, а полезная обратная связь — «что именно исправить и как». Пустая тройка или «молодец» без объяснений почти не помогают. Просите учителя объяснять ошибки и говорите ребёнку, что ошибки — это сигнал, что поправить, а не приговор. Хуже всего — критика личности («ты тупой»): она снижает результаты, а не улучшает.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4.5. Самообъяснение и элаборация. Самообъяснение — метаанализ g=0,55. Элаборация, организация, проверенные приёмы поддержки понимания. Уровень: высокий. [29]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Для родителя: пусть ребёнок объясняет материал вслух — вам, другу, самому себе «как учителю». Объяснение своими словами и «в связке» с тем, что он уже знает, сильно улучшает понимание и память. Это простой и мощный приём: «Мама, я сейчас объясню тебе эту тему» — сработает лучше заучивания.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4.6. Принципы Розеншина. 10 принципов инструкции (основаны на когнитивной науке и исследованиях «мастеров»-учителей). Уровень: высокий (первоисточник). [30]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Для родителя: хорошее объяснение устроено не «как попало», а по проверенной схеме: короткие шаги, много примеров, практика под руководством, проверка усвоения. Если ребёнку непонятно, попросите учителя объяснить «маленькими шагами» и с примерами, а не «ещё раз целиком». Материал лучше усваивается, когда его дают порциями и сразу проверяют понимание.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4.7. Что НЕ работает. «Стили обучения» (meshing hypothesis) — эмпирически не подтверждено (Pashler et al.; Coffield et al. — 71 модель, инструменты раскритикованы). Перечитывание, подчёркивание, конспектирование — низкая полезность по Dunlosky et al. «Лево/правополушарность», «10% мозга», «Мозг на 10–20%» — нейромифы. Уровень: высокий. [31][32][33]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Для родителя: не тратьте деньги и время на тесты «тип обучения» (визуал/аудиал/кинестетик) — наука это не подтверждает. И знайте: простого перечитывания, подчёркивания маркером и переписывания конспекта НЕДОСТАТОЧНО — это самые слабые приёмы. Сдвигайте ребёнка на активные методы (пересказ, решение задач, тесты), а не на «красиво закрасить конспект».</w:t>
      </w:r>
    </w:p>
    <w:p/>
    <w:p>
      <w:pPr>
        <w:pStyle w:val="Heading2"/>
        <w:spacing w:after="100" w:before="200"/>
      </w:pPr>
      <w:r>
        <w:t xml:space="preserve">5. Профориентация: теории и что доказано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5.1. Классические теории — рамки, не «приговор». Холланд (RIASEC): типология личности/среды, соответствие «человек–среда»; надёжно воспроизводится в западных странах, кросс-культурная валидность ограничена. Сьюпер: стадии карьеры и «исследование» (15–24) укладываются прямо в 14–18 лет. Готтфредсон: циркумскрипция и компромисс — подростки суживают выбор сначала по признаку пола и престижа, а не интереса; при компромиссе дольше всего сохраняется пол, затем престиж. Марсия: статусы идентичности — инструмент дифференцированной работы. Уровень: доказано как модели; спорно по жёсткости стадий/универсальности. [34][35][36][37]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Для родителя: не ищите для ребёнка «единственную идеальную профессию» — её нет. Выбор профессии — это процесс, который идёт годами. Серьёзно учтите: подростки часто отсекают профессии не по интересу, а по «кто это делает — мальчики или девочки» и «престижно/не престижно». Помогайте смотреть шире этих стереотипов.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5.2. Современные подходы. Теория конструирования карьеры Савикаса: акцент на карьерную адаптивность (4 ресурса: забота, контроль, любопытство, уверенность) и нарративную идентичность; есть русскоязычная валидизированная шкала CAAS. В условиях нестабильного рынка труда ценна адаптивность и переобучение, а не разовое «правильное» решение. Уровень: доминирующая современная рамка — доказано. [35]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Для родителя: в современном мире люди меняют профессии, поэтому важнее научить ребёнка «учиться, выбирать и перестраиваться», чем «найти одно дело на всю жизнь». Цените у него гибкость, любопытство и умение адаптироваться. Не заставляйте «окончательно решить» уже в 9-м классе — это скорее вредно.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5.3. Что доказано эффективно (по OECD Career Readiness). 11 индикаторов карьерной готовности, ассоциированных с более низкой безработицей и большей зарплатой во взрослом возрасте: карьерные разговоры, контакты с работниками, визиты/теневая работа, навыки подачи заявок, короткие профориентационные программы, подработка, волонтёрство, карьерная определённость, амбиции, согласованность, инструментальная мотивация. Уровень: доказано (анализ 12 национальных лонгитюдных датасетов). [40]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Для родителя: самое работающее в профориентации — реальный контакт с миром труда, а не тесты. Разговаривайте с ребёнком о профессиях, водите на дни открытых дверей, организуйте «понаблюдать за работой» (у знакомых, на предприятии), разрешите подработку и волонтёрство. Это даёт ребёнку реальное понимание, что его ждёт, и помогает выбрать осознанно.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5.4. Метаанализ карьерных вмешательств (Whiston et al.): значимые, но скромные эффекты; сильнее при индивидуальном консультировании, слабее при самостоятельном использовании инструментов. Уровень: доказано. [38]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Для родителя: индивидуальный разговор с профконсультантом (специалистом, который ведёт за руку) эффективнее, чем пройти онлайн-тест в одиночку. Если бюджета на консультанта нет — можно, но полезнее живой разговор и разбор с родителем или педагогом, чем «просто кликнуть по тесту».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5.5. Мифы. Тест профориентации как «гарантия»/панацея — не доказан; определения RIASEC-инструментов расходятся между собой, эффект зависит от пола, культуры и сопровождения специалистом. Тест — отправная точка разговора, а не ответ. Концепция «призвания» — опосредованный и неоднозначный эффект. Уровень: доказано/спорно. [38]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Для родителя: не делайте из теста профориентации «приговор» («вот, тест сказал — ты будешь бухгалтером»). Это лишь повод поговорить и задуматься, а не готовый ответ. И не требуйте от ребёнка найти «призвание» — такого волшебного знака нет, есть процесс проб и размышлений. Ошибки выбора — нормальны и поправимы.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5.6. Роль школы. Школа — главный «демократизатор» доступа к карьерной информации, особенно для детей из семей с низким социальным статусом, и наибольшие выгоды от вмешательств получают именно учащиеся с низким SES. По PISA 2018, лишь ~50% 15-летних говорили с консультантом, 4 из 10 участвовали в job shadowing или визите на рабочее место — школы системно недорабатывают. Уровень: доказано. [40][41]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Для родителя: не рассчитывайте, что школа сама всё организует — чаще всего она этого не делает. Беру карьерное ориентирование в свои руки: задавайте вопросы, водите, ищите программы и проекты («Билет в будущее», дни открытых дверей в вузах, кружки). Особенно это важно, если у вас самой семьи нет «связей» в нужных сферах — школа и госпроекты должны компенсировать эту разницу.</w:t>
      </w:r>
    </w:p>
    <w:p/>
    <w:p>
      <w:pPr>
        <w:pStyle w:val="Heading2"/>
        <w:spacing w:after="100" w:before="200"/>
      </w:pPr>
      <w:r>
        <w:t xml:space="preserve">6. Семья, учитель, школа и социально-экономический статус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6.1. Социально-экономический статус (SES). По PISA, в среднем по ОЭСР SES объясняет ~12% различий в естественнонаучной грамотности, разрыв между благополучными и неблагополучными ≈85 баллов. По Хэтти эффект SES d≈0,52 — силён, но не доминирует фатально: сравним с эффектом учителя и сверстников. Уровень: доказано. [41][24]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Для родителя: доходы и образование семьи влияют на результаты ребёнка, но это НЕ приговор, а стартовое преимущество, которое другие факторы могут частично компенсировать. Даже если ресурсов мало, важнее внимание, ожидания и поддержка. Помните: семья, где верят в ребёнка и следят за учёбой, может дать больше, чем богатая, но равнодушная.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6.2. Родительская вовлечённость (Hill &amp; Tyson). Метаанализ 50 исследований: вовлечённость позитивно связана с успеваемостью, ЗА ИСКЛЮЧЕНИЕМ прямой помощи с домашними заданиями (связь нулевая/отрицательная, особенно когда контроль воспринимается как давление). Самый сильный предиктор — «академическая социализация»: ожидания, обсуждение планов, передача ценности образования. Уровень: высокий. [42]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Для родителя: самый большой сюрприз — помощь с домашними заданиями «рука в руке» может ВРЕДИТЬ, превращаясь в контроль и давление. Гораздо эффективнее: устанавливать высокие, но реалистичные ожидания, обсуждать с ребёнком планы на будущее и ценность образования, интересоваться учёбой разговорами, а не проверками. «Поговорить о завтрашнем дне» полезнее, чем сесть решать с ним задачи.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6.3. Эффект учителя (Chetty, Friedman &amp; Rockoff). Value-added модели на данных &gt;1 млн детей (AER 2014): учитель с эффективностью на 1 SD выше значимо повышает тестовые баллы, увеличивает вероятность поступления в колледж и пожизненный заработок. Уровень: высокий по факту исследования; точные денежные величины требуют сверки с первичным текстом. [43]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Для родителя: хороший учитель — это реально важно, это влияет на всю жизнь ребёнка, а не только на год. Если есть выбор школы/класса — обращайте внимание на учителей, а не только на «престижность» здания. И если у конкретного учителя у ребёнка совсем не идёт, подумайте о смене класса/школы или дополнительной помощи — не списывайте результат только на «неспособность».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6.4. Климат и чувство принадлежности к школе. Чувство принадлежности положительно коррелирует с успеваемостью (r≈0,18) и отрицательно — с риском отсева (r≈−0,16), связано с мотивационными исходами. Уровень: средний-высокий (два метаанализа). [44][45]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Для родителя: ребёнку важно чувствовать себя «своим» в школе — это влияет и на оценки, и на желание ходить туда. Если ребёнок ходит в школу «через не могу», не из-за лени, а из-за ощущения чужого/одиночества — это сигнал. Поддержка, дружеская атмосфера в классе и отношения с учителями так же важны, как учебники.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6.5. Сверстники. Эффект сверстников подтверждён (Хэтти d≈0,53; экономические модели Sacerdote). Уровень: высокий по Хэтти, средний по экономическим моделям. [24]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Для родителя: одноклассники и компания влияют на ребёнка очень сильно — и в плюс, и в минус. Следите за окружением: сверстники, которые учатся и стремятся, «тянут вверх», а те, кто прогуливает — вниз. Важно не «запирать» ребёнка, а помогать находить хорошую компанию (секции, профильные классы, олимпиады), где нормой является стремление учиться.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6.6. Размер класса и структура школы. Сокращение класса — слабый фактор (d≈0,21 по Хэтти), заметно слабее качества преподавания и климата. Уровень: доказано (в рамках Хэтти). [24]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Для родителя: распространённое мнение «чем меньше класс, тем лучше учится» сильно преувеличено. Размер класса влияет мало по сравнению с качеством учителя и атмосферой. Не переплачивайте и не переезжайте только ради «класса по 12 человек» — это не главный фактор успеха.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6.7. Ожидания учителя (эффект Пигмалиона). Rosenthal &amp; Jacobson (1968): выразительно в младших классах, в старших (4–6) практически отсутствует; методологическая критика значительна. Уровень: данные верны по описанию, эффект в старшей школе — спорно. [46]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Для родителя: если учитель считает ребёнка «слабым», ребёнок часто начинает соответствовать этим ожиданиям. Поэтому, если слышите от учителя ярлыки («ему не дано»), не молчите — обсуждайте, просите дать ребёнку шанс. И сами не вешайте ярлыки («у нас в роду все гуманитарии»). Ожидание успеха — полу-успеха.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6.8. Внеучебные занятия. По Хэтти эффекты музыки, спорта, кружков — умеренные положительные (d≈0,37–0,58); данные российского ВШЭ уточняют, что не всякое внешкольное занятие связано с благополучием. Уровень: высокий по Хэтти; российские данные — одно исследование. [24][52]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Для родителя: кружки, спорт и увлечения полезны, но само по себе «забить все дни секциями» — не рецепт счастья. Важно, чтобы занятия ребёнок выбирал по интересу, а не «чтоб был занят». Подросткам из любой семьи умеренные внеучебные занятия помогают с уверенностью и дисциплиной, но не перегружайте до выгорания.</w:t>
      </w:r>
    </w:p>
    <w:p/>
    <w:p>
      <w:pPr>
        <w:pStyle w:val="Heading2"/>
        <w:spacing w:after="100" w:before="200"/>
      </w:pPr>
      <w:r>
        <w:t xml:space="preserve">7. Цифровые экраны и соцсети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7.1. Дебаты о величине эффекта. Orben &amp; Przybylski (2019): цифровые технологии объясняют ≤0,4% вариации благополучия (specification-curve анализ n=355 тыс.). Twenge, Haidt и др. (2020): оспорили, указав на «практически важные» эффекты, особенно соцсетей у девочек. Уровень: спорно (методологическая дискуссия). [47][48]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Для родителя: не воспринимайте экранное время как «чистое зло» — учёные спорят, насколько оно вредит. Решает не число часов, а ЧТО ребёнок делает и КОГДА. Пассивный скроллинг и ночное сидение вредят, а учебные видео и творческие занятия — нет. Не демонизируйте гаджет целиком, разбирайтесь с конкретными проблемами (сон, учёба, эмоции).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7.2. Соцсети и психическое здоровье. Систематический обзор 13 исследований (n=21 тыс.): все домены использования соцсетей коррелируют с депрессией/тревогой; &gt;3 часов/день — двойной риск; 46% подростков говорят, что соцсети ухудшают отношение к своему телу; среднее время 3,5 ч/день. Причинность не доказана (наблюдательные данные). Уровень: корреляционно доказано, причинность — открыта. [49][50]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Для родителя: сильное увлечение соцсетями (больше ~3 ч/день) связано с повышенным риском тревоги и депрессии, а у каждого второго подростка соцсети ухудшают отношение к своей внешности. Причинно-следственной связи точно не доказано, но риск реален. Полезно: обсуждать, что «идеальная жизнь» в ленте — не реальность, следить за настроением, а не только за временем, ставить рамки на ночное использование.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7.3. Телефоны в классе. Эксперимент Beland &amp; Murphy (LSE): запрет телефонов в школах повысил результаты экзаменов, эффект сосредоточен у низкоуспевающих («низкозатратная политика снижения неравенства»). По PISA 2022: 65% ото отвлекались устройствами на уроках математики, 59% — из-за чужих устройств. Умеренное использование в учебных целях связано с лучшими результатами, развлекательное — с худшими. Уровень: доказано (квази-эксперимент + свежие данные). [39][53]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Для родителя: телефоны на уроках реально отвлекают — 65% учеников признают, что сами отвлекались. Поддерживайте правила школы, где телефоны сдаются или ограничены во время уроков — это не «против ребёнка», а в его пользу, особенно если он учится средне. При этом совсем запрещать инструменты для учёбы не нужно — важно «учебное» vs «развлекательное» использование.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7.4. Медиа-мультизадачность. Метаанализ 43 исследований: умеренная отрицательная связь с когнитивным контролем; тяжелые мультитаскеры хуже по ингибиторному контролю и рабочей памяти. Уровень: средний-высокий. [54]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Для родителя: «делать уроки и одновременно переписываться и слушать музыку» — реально хуже для усвоения. Привычка постоянно переключаться между делами (медиа-мультизадачность) ослабляет внимание и память. Помогайте ребёнку делать одно дело за раз: на время учёбы — телефон в другую комнату, уведомления выключены. Это научит его глубокой концентрации, которой не хватает многим взрослым.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7.5. Экранное время и сон. Мета-анализ 21 когортного исследования (n=548 тыс.): каждый доп. час экрана → ~3–5 минут короче сон, OR короткого сна 1,25, задержка отхода ко сну +13 мин/час. Подростки особенно уязвимы. Уровень: высокий. [55]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Для родителя: экраны вечером — прямой враг сна: каждый час за экраном «ворует» у сна до ~5 минут и отодвигает засыпание. Голубое свечение подавляет гормон сна. Правило: за 1–1,5 часа до сна гаджеты убираем, лучше — из комнаты. Это одна из самых простых и эффективных мер по улучшению и настроения, и учёбы.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7.6. Рекомендации организаций. ВОЗ: подросткам ≥60 минут физической активности ежедневно; ограничить сидячее время и экраны; сон 8–10 ч (14–17 лет). ААП: для подростков нет фиксированного порога часов — персонализированный Family Media Plan, tech-free зоны, моделирование поведения родителями. Основной консенсус: качество и тип использования важнее голых часов. Уровень: официальные рекомендации. [56][57]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Для родителя: мировые рекомендации не требуют «ноль экранов», а советуют качество и рамки. Составьте вместе с ребёнком простой «семейный медиа-план»: время без экранов (за едой, перед сном), запрет гаджетов за столом, самому родителю тоже откладывать телефон. Активность (≥1 часа движения в день) и сон (8–10 ч) важнее, чем жёсткий предел часов. Что делаете вы — пример для ребёнка сильнее, чем запреты.</w:t>
      </w:r>
    </w:p>
    <w:p/>
    <w:p>
      <w:pPr>
        <w:pStyle w:val="Heading2"/>
        <w:spacing w:after="100" w:before="200"/>
      </w:pPr>
      <w:r>
        <w:t xml:space="preserve">8. Российский контекст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8.1. Федеральная рамка. ФГОС СОО (старшая школа) утверждён Приказом Минобрнауки № 413 от 17.05.2012. Единая модель профориентации «профминимум» на базе «Билета в будущее» внедрена с 1 сентября 2023 во всех школах для 6–11 классов (включая ОВЗ); оператор — Фонд Гуманитарных Проектов в рамках нацпроекта «Образование». Также действуют платформы «ПроеКТОриЯ». Уровень: доказано (официальные документы). [58][59]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Для родителя: у решения, где и как ребёнку учиться, есть точные правовые формы: профильное обучение, ИУП (свой набор предметов внутри школы), семейное/заочное обучение. Спрашивайте школу о возможностях — многие из них не предлагают сами по умолчанию, но по закону обязаны предоставить (например, право на ИУП). Знание своих прав помогает выбрать лучший вариант.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8.2. PISA по России. PISA-2018: математика 488 (≈30 место), чтение 479 (≈31), естественно-научная 478 (≈33) — первичные данные ФИОКО. В PISA-2022 Россия не участвовала (ОЭСР приостановила участие); проведена «общероссийская оценка по модели PISA»: чтение ~499 (20 место), математика ~512 (13), естественно-научная ~483 (30). Уровень: по PISA-2018 — высокий; по «модели 2022» — средний (цифры разнятся между источниками, требуется сверка с первоисточником ФИОКО). [60][61]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Для родителя: эти цифры — не про вашего ребёнка лично, а про систему в целом. Не читайте их как «будущее моего ребёнка». Личные результаты зависят от конкретной школы, учителей и вашей поддержки куда больше, чем от средней по стране. Российские школьники в среднем ближе к мировым стандартам, чем о том говорят паники в СМИ.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8.3. Лонгитюдное исследование ВШЭ «Траектории в образовании и профессии» (≈5000 человек). Профессию выбирают чаще «случайно» («почему бы и нет» — 26%), чем «по призванию» (24%); доля неопределившихся растёт с возрастом; разочарование в выборе — до 40% у окончивших колледж; &gt;60% студентов совмещают учёбу и работу. Уровень: высокий (первичное лонгитюдное исследование). [62]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Для родителя: выводы исследования важны: большинство людей выбирают профессию «просто так», и многие позже разочаровываются. Не давите на ребёнка с «окончательным выбором профессии» — шанс ошибиться велик. Лучше развивать умение учиться и переучиваться, помнить, что &gt;60% студентов работают во время учёбы — современная карьера гибкая.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8.4. ЕГЭ и мотивация/стресс. По опросу (13,8 тыс. школьников): 42% не верят в успешную сдачу ЕГЭ, для 48% ЕГЭ — шанс уехать в другой город. Академические работы фиксируют важность стрессоустойчивости для сдачи. Уровень: опрос — вторичный (коммерческий), выводы по стрессу — отдельные исследования. [63]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Для родителя: почти половина школьников не верит, что сдаст ЕГЭ хорошо, а треть его страшится. Это сигнал управлять тревогой, а не только «зубрить». Устойчивость к стрессу тренируется репетиционными экзаменами, спокойным режимом и разговором «что будет, если получится не идеально» (запасные сценарии снижают страх). Не добавляйте давления «не подведи нас».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8.5. Предпрофессиональное образование (Москва). Инженерные, медицинские, ИТ- и другие предпрофклассы открыты более чем в 70% московских школ; в них учится ~40–50% старшеклассников города; каждый третий стобалльник Москвы — выпускник предпрофкласса. Уровень: доказано (городские данные). [64]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Для родителя: если есть возможность профильного/предпрофессионального класса (инженерный, медицинский, ИТ) — это реальный плюс: у ребёнка появляется связь с вузом и конкретной профессией, и в таких классах выше результаты. Уточняйте про такие классы в своей школе/городе — они дают и мотивацию, и практическую подготовку, а не только «бумагу».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8.6. Российские данные об экранном времени подростков РФ — надёжного национального измерения не найдено («нет данных»); есть только санитарные рекомендации (Роспотребнадзор) и ограничения использования телефонов в школе. Уровень: нет данных (честная фиксация). [65]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Для родителя: точных российских норм «сколько часов экрана допустимо» нет — ориентируйтесь на здравый смысл и мировые рекомендации (качество, сон, активность). Поддерживайте правило школы про ограничение телефонов на уроках — это проверенная мера. А дома обсуждайте, а не только запрещайте.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8.7. Российские исследователи. Исторический вклад — Выготский (ЗБР, кризисы развития). Современные — Павел Лукша («Атлас новых профессий», Global Education Futures), исследования НИУ ВШЭ (Институт образования). Уровень: доказано (институциональные публикации). [66]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Для родителя: в России есть авторитетные исследователи образования — их материалы (например, «Атлас новых профессий» Лукши, исследования ВШЭ) помогают понять, какие навыки будут важны и как растёт ребёнок. Полезно читать первоисточники от Института образования ВШЭ, а не только пересказы в соцсетях.</w:t>
      </w:r>
    </w:p>
    <w:p/>
    <w:p>
      <w:pPr>
        <w:pStyle w:val="Heading2"/>
        <w:spacing w:after="100" w:before="200"/>
      </w:pPr>
      <w:r>
        <w:t xml:space="preserve">9. Практические рекомендации (по аудиториям)</w:t>
      </w:r>
    </w:p>
    <w:p>
      <w:pPr>
        <w:pStyle w:val="Heading3"/>
        <w:spacing w:after="100" w:before="200"/>
      </w:pPr>
      <w:r>
        <w:t xml:space="preserve">9.1. Для руководителей школ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Позднее начало учебного дня и защита времени сна как приоритет (оптимум ~8 часов): данные о смещении циркадной фазы и влиянии недосыпа на успеваемость. [4][5]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Внедрять политику ограничения использования телефонов на уроках — доказанное позитивное влияние на внимание и результаты, особенно слабоуспевающих. [39][53]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Переориентировать профориентацию с тестов на контакт с миром труда (профпробы, job shadowing, подработки, волонтёрство, карьерные разговоры) — по индикаторам OECD. [40]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Инвестировать в качество преподавания и климат (учитель и принадлежность к школе сильнее, чем размер класса). [24][44]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Защищать благополучие педагогов и учеников как фактор результата; учитывать данные о выгорании. [11]</w:t>
      </w:r>
    </w:p>
    <w:p>
      <w:pPr>
        <w:pStyle w:val="Heading3"/>
        <w:spacing w:after="100" w:before="200"/>
      </w:pPr>
      <w:r>
        <w:t xml:space="preserve">9.2. Для педагогов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Использовать доказанные техники: активное припоминание, распределённая/перемежающаяся практика, обратная связь (с осторожностью — треть форм вредна), самообъяснение. [25][26][28][29]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Не опираться на нейромифы («стили обучения», лево/право полушария, «использование 10% мозга»). [31][32]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Поддерживать автономию и субъективную ценность предмета (утилитарность, связь с профессией) — сильнее внешних наград. [16][17]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Формировать самоэффективность и чувство принадлежности к классу; учитывать эффект социального сравнения (BFLPE), особенно в селективных классах. [10][12][44]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Учитывать, что эффект установки на рост реален, но мал; не переоценивать «mindset-интервенции» как панацею. [20][21]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Организовывать домашние задания так, чтобы родители не превращали помощь в контроль (прямая помощь с ДЗ — не доказанная стратегия). [42]</w:t>
      </w:r>
    </w:p>
    <w:p>
      <w:pPr>
        <w:pStyle w:val="Heading3"/>
        <w:spacing w:after="100" w:before="200"/>
      </w:pPr>
      <w:r>
        <w:t xml:space="preserve">9.3. Для родителей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«Академическая социализация» — обсуждение планов, ожиданий и ценности образования — эффективнее, чем контроль и прямая помощь с домашними заданиями. [42]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Защищать сон: режим, ограничение экранов вечером (свет подавляет мелатонин). [4][55]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Не подкупать материальными наградами за учёбу — это подрывает внутреннюю мотивацию; отдавать предпочтение вербальной похвале и автономии. [17]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Не транслировать негативный образ подростка как «неизбежно кризисного» — это самосбывающееся пророчество. [14][15]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Поощрять физическую активность и внешкольный опыт (спорт, волонтёрство, подработки) — доказанные умеренные положительные эффекты. [6][40]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Для родителя (самое важное — одним абзацем): лучший «пакет» поддержки подростка — это (1) организованный сон ~8 часов и без экранов перед сном, (2) тёплая поддерживающая атмосфера дома с высокими, но добрыми ожиданиями, (3) разговоры о будущем и ценности учёбы вместо контроля и денежных наград, (4) помощь маленькими достижениями (чтобы укрепить веру в себя), (5) активное обучение (пересказ, тесты, практика) вместо «перечитывания», (6) интересные, полезные компании и занятия, (7) спокойное отношение к выбору профессии — это процесс, а не приговор. Не нужно быть экспертом: достаточно быть рядом, верить в ребёнка и защищать его сон, настроение и интерес.</w:t>
      </w:r>
    </w:p>
    <w:p>
      <w:pPr>
        <w:pStyle w:val="Heading3"/>
        <w:spacing w:after="100" w:before="200"/>
      </w:pPr>
      <w:r>
        <w:t xml:space="preserve">Кросс-тематические принципы (доказанные)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Есть мало факторов с «магическим» эффектом: сила — в сумме небольших, но согласованных вмешательств (сон + активность + автономия + контакт с трудом + обратная связь).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Скептически относиться к единичным эффект-размерам из агрегаторов: верифицировать по первичным метаанализам.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Семья (SES), учитель и климат — три кита; каждый в отдельности объясняет умеренную долю результата, вместе — значительную. [24][41][43]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Для родителей: не пытайтесь сделать всё сразу. Начните с самого дешёвого и доказанного — сон, спокойная поддержка, разговоры о будущем и активные способы учёбы. Постепенно добавляйте остальное. Идеальный родитель не нужен — нужен «достаточно хороший»: рядом, верящий и защищающий режим и настроение ребёнка.</w:t>
      </w:r>
    </w:p>
    <w:p/>
    <w:p>
      <w:pPr>
        <w:pStyle w:val="Heading2"/>
        <w:spacing w:after="100" w:before="200"/>
      </w:pPr>
      <w:r>
        <w:t xml:space="preserve">10. Ограничения и уровень достоверности материала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Все утверждения в этом отчёте классифицированы по доверию: (а) подтверждено двумя+ независимыми источниками; (б) единичный источник; (в) спорно/гипотеза. Ключевые оговорки: [1] часть нейробиологических интерпретаций пластичности для людей — гипотеза по данным животных; [2] цифры по «модели PISA-2022» для России требуют сверки с первичным PDF ФИОКО — между вторичными источниками есть расхождение; [3] точные денежные величины эффекта учителя (Chetty) и эффект-размер interleaving не читались напрямую из первичного текста — помечены как требующие сверки; [4] большинство связей «экран-благополучие» наблюдательные, причинность не установлена; [5] источники. Числа и имена приводятся по первоисточникам; где брался агрегаторный пересказ, это отмечено и перепроверено.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Рекомендации для родителей — это практические следствия из доказанных научных фактов, сформулированные простым языком. Они носят рекомендательный, а не медицинский характер. Отчёт не является юридической или медицинской консультацией; при принятии управленческих решений рекомендуется обращаться к первичным публикациям по приведённым ссылкам.</w:t>
      </w:r>
    </w:p>
    <w:p/>
    <w:p>
      <w:pPr>
        <w:pStyle w:val="Heading2"/>
        <w:spacing w:after="100" w:before="200"/>
      </w:pPr>
      <w:r>
        <w:t xml:space="preserve">Источники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Ссылки ниже открываются без VPN (академические и официальные домены). Пронумерованы в порядке первого упоминания.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4"/>
          <w:insideV w:val="single" w:color="CCCCCC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6%"/>
            <w:shd w:fill="EDF1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</w:rPr>
              <w:t xml:space="preserve">#</w:t>
            </w:r>
          </w:p>
        </w:tc>
        <w:tc>
          <w:tcPr>
            <w:tcW w:type="pct" w:w="50%"/>
            <w:shd w:fill="EDF1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</w:rPr>
              <w:t xml:space="preserve">Источник</w:t>
            </w:r>
          </w:p>
        </w:tc>
        <w:tc>
          <w:tcPr>
            <w:tcW w:type="pct" w:w="44%"/>
            <w:shd w:fill="EDF1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</w:rPr>
              <w:t xml:space="preserve">Ссылка</w:t>
            </w:r>
          </w:p>
        </w:tc>
      </w:tr>
      <w:tr>
        <w:trPr>
          <w:tblHeader w:val="false"/>
        </w:trPr>
        <w:tc>
          <w:tcPr>
            <w:tcW w:type="pct" w:w="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tcPr>
            <w:tcW w:type="pct" w:w="5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Considerations of a Dual-systems Model of Cognitive Development (Lambert et al.) — PMC</w:t>
            </w:r>
          </w:p>
        </w:tc>
        <w:tc>
          <w:tcPr>
            <w:tcW w:type="pct" w:w="4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https://pmc.ncbi.nlm.nih.gov/articles/PMC4430104</w:t>
            </w:r>
          </w:p>
        </w:tc>
      </w:tr>
      <w:tr>
        <w:trPr>
          <w:tblHeader w:val="false"/>
        </w:trPr>
        <w:tc>
          <w:tcPr>
            <w:tcW w:type="pct" w:w="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2</w:t>
            </w:r>
          </w:p>
        </w:tc>
        <w:tc>
          <w:tcPr>
            <w:tcW w:type="pct" w:w="5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Differential Dopamine Dynamics in Adolescents and Adults (Toth, Journal of Neuroscience)</w:t>
            </w:r>
          </w:p>
        </w:tc>
        <w:tc>
          <w:tcPr>
            <w:tcW w:type="pct" w:w="4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https://pmc.ncbi.nlm.nih.gov/articles/PMC8985849</w:t>
            </w:r>
          </w:p>
        </w:tc>
      </w:tr>
      <w:tr>
        <w:trPr>
          <w:tblHeader w:val="false"/>
        </w:trPr>
        <w:tc>
          <w:tcPr>
            <w:tcW w:type="pct" w:w="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3</w:t>
            </w:r>
          </w:p>
        </w:tc>
        <w:tc>
          <w:tcPr>
            <w:tcW w:type="pct" w:w="5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Chein et al. — Peers increase adolescent risk taking (Developmental Science)</w:t>
            </w:r>
          </w:p>
        </w:tc>
        <w:tc>
          <w:tcPr>
            <w:tcW w:type="pct" w:w="4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https://onlinelibrary.wiley.com/doi/10.1111/j.1467-7687.2010.01035.x</w:t>
            </w:r>
          </w:p>
        </w:tc>
      </w:tr>
      <w:tr>
        <w:trPr>
          <w:tblHeader w:val="false"/>
        </w:trPr>
        <w:tc>
          <w:tcPr>
            <w:tcW w:type="pct" w:w="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4</w:t>
            </w:r>
          </w:p>
        </w:tc>
        <w:tc>
          <w:tcPr>
            <w:tcW w:type="pct" w:w="5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Sleep duration and subject-specific academic performance (npj Science of Learning)</w:t>
            </w:r>
          </w:p>
        </w:tc>
        <w:tc>
          <w:tcPr>
            <w:tcW w:type="pct" w:w="4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https://www.nature.com/articles/s41539-025-00361-y</w:t>
            </w:r>
          </w:p>
        </w:tc>
      </w:tr>
      <w:tr>
        <w:trPr>
          <w:tblHeader w:val="false"/>
        </w:trPr>
        <w:tc>
          <w:tcPr>
            <w:tcW w:type="pct" w:w="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5</w:t>
            </w:r>
          </w:p>
        </w:tc>
        <w:tc>
          <w:tcPr>
            <w:tcW w:type="pct" w:w="5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School Start Times for Adolescents (AAP policy) — PMC</w:t>
            </w:r>
          </w:p>
        </w:tc>
        <w:tc>
          <w:tcPr>
            <w:tcW w:type="pct" w:w="4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https://pmc.ncbi.nlm.nih.gov/articles/PMC8194457</w:t>
            </w:r>
          </w:p>
        </w:tc>
      </w:tr>
      <w:tr>
        <w:trPr>
          <w:tblHeader w:val="false"/>
        </w:trPr>
        <w:tc>
          <w:tcPr>
            <w:tcW w:type="pct" w:w="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6</w:t>
            </w:r>
          </w:p>
        </w:tc>
        <w:tc>
          <w:tcPr>
            <w:tcW w:type="pct" w:w="5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Physical Activity and Academic Achievement: Umbrella Review (Barbosa et al.)</w:t>
            </w:r>
          </w:p>
        </w:tc>
        <w:tc>
          <w:tcPr>
            <w:tcW w:type="pct" w:w="4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https://pmc.ncbi.nlm.nih.gov/articles/PMC7460146</w:t>
            </w:r>
          </w:p>
        </w:tc>
      </w:tr>
      <w:tr>
        <w:trPr>
          <w:tblHeader w:val="false"/>
        </w:trPr>
        <w:tc>
          <w:tcPr>
            <w:tcW w:type="pct" w:w="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7</w:t>
            </w:r>
          </w:p>
        </w:tc>
        <w:tc>
          <w:tcPr>
            <w:tcW w:type="pct" w:w="5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Iron Status, Anemia, and Cognitive/Academic Performance in Adolescents (Nutrients)</w:t>
            </w:r>
          </w:p>
        </w:tc>
        <w:tc>
          <w:tcPr>
            <w:tcW w:type="pct" w:w="4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https://www.mdpi.com/2072-6643/14/1/224</w:t>
            </w:r>
          </w:p>
        </w:tc>
      </w:tr>
      <w:tr>
        <w:trPr>
          <w:tblHeader w:val="false"/>
        </w:trPr>
        <w:tc>
          <w:tcPr>
            <w:tcW w:type="pct" w:w="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8</w:t>
            </w:r>
          </w:p>
        </w:tc>
        <w:tc>
          <w:tcPr>
            <w:tcW w:type="pct" w:w="5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The role of puberty in the developing adolescent brain (Blakemore et al.) — PMC</w:t>
            </w:r>
          </w:p>
        </w:tc>
        <w:tc>
          <w:tcPr>
            <w:tcW w:type="pct" w:w="4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https://pmc.ncbi.nlm.nih.gov/articles/PMC3410522</w:t>
            </w:r>
          </w:p>
        </w:tc>
      </w:tr>
      <w:tr>
        <w:trPr>
          <w:tblHeader w:val="false"/>
        </w:trPr>
        <w:tc>
          <w:tcPr>
            <w:tcW w:type="pct" w:w="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9</w:t>
            </w:r>
          </w:p>
        </w:tc>
        <w:tc>
          <w:tcPr>
            <w:tcW w:type="pct" w:w="5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Identity Statuses as Developmental Trajectories (Meeus et al.)</w:t>
            </w:r>
          </w:p>
        </w:tc>
        <w:tc>
          <w:tcPr>
            <w:tcW w:type="pct" w:w="4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https://pmc.ncbi.nlm.nih.gov/articles/PMC3394234</w:t>
            </w:r>
          </w:p>
        </w:tc>
      </w:tr>
      <w:tr>
        <w:trPr>
          <w:tblHeader w:val="false"/>
        </w:trPr>
        <w:tc>
          <w:tcPr>
            <w:tcW w:type="pct" w:w="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10</w:t>
            </w:r>
          </w:p>
        </w:tc>
        <w:tc>
          <w:tcPr>
            <w:tcW w:type="pct" w:w="5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Meta-analysis: Academic Self-Concept and Achievement (Wu et al.)</w:t>
            </w:r>
          </w:p>
        </w:tc>
        <w:tc>
          <w:tcPr>
            <w:tcW w:type="pct" w:w="4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https://link.springer.com/article/10.1007/s10648-021-09600-1</w:t>
            </w:r>
          </w:p>
        </w:tc>
      </w:tr>
      <w:tr>
        <w:trPr>
          <w:tblHeader w:val="false"/>
        </w:trPr>
        <w:tc>
          <w:tcPr>
            <w:tcW w:type="pct" w:w="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11</w:t>
            </w:r>
          </w:p>
        </w:tc>
        <w:tc>
          <w:tcPr>
            <w:tcW w:type="pct" w:w="5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Academic stress and academic burnout in adolescents (Frontiers)</w:t>
            </w:r>
          </w:p>
        </w:tc>
        <w:tc>
          <w:tcPr>
            <w:tcW w:type="pct" w:w="4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https://www.frontiersin.org/journals/psychology/articles/10.3389/fpsyg.2023.1133706/full</w:t>
            </w:r>
          </w:p>
        </w:tc>
      </w:tr>
      <w:tr>
        <w:trPr>
          <w:tblHeader w:val="false"/>
        </w:trPr>
        <w:tc>
          <w:tcPr>
            <w:tcW w:type="pct" w:w="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12</w:t>
            </w:r>
          </w:p>
        </w:tc>
        <w:tc>
          <w:tcPr>
            <w:tcW w:type="pct" w:w="5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Social Comparison Effects on Academic Self-Concepts (Jansen et al.)</w:t>
            </w:r>
          </w:p>
        </w:tc>
        <w:tc>
          <w:tcPr>
            <w:tcW w:type="pct" w:w="4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https://pmc.ncbi.nlm.nih.gov/articles/PMC9281383</w:t>
            </w:r>
          </w:p>
        </w:tc>
      </w:tr>
      <w:tr>
        <w:trPr>
          <w:tblHeader w:val="false"/>
        </w:trPr>
        <w:tc>
          <w:tcPr>
            <w:tcW w:type="pct" w:w="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13</w:t>
            </w:r>
          </w:p>
        </w:tc>
        <w:tc>
          <w:tcPr>
            <w:tcW w:type="pct" w:w="5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Adolescent Storm and Stress, Reconsidered (Arnett, American Psychologist)</w:t>
            </w:r>
          </w:p>
        </w:tc>
        <w:tc>
          <w:tcPr>
            <w:tcW w:type="pct" w:w="4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https://psycnet.apa.org/record/1999-13451-001</w:t>
            </w:r>
          </w:p>
        </w:tc>
      </w:tr>
      <w:tr>
        <w:trPr>
          <w:tblHeader w:val="false"/>
        </w:trPr>
        <w:tc>
          <w:tcPr>
            <w:tcW w:type="pct" w:w="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14</w:t>
            </w:r>
          </w:p>
        </w:tc>
        <w:tc>
          <w:tcPr>
            <w:tcW w:type="pct" w:w="5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Editorial: Adolescent storm and stress — a 21st century evaluation (Frontiers)</w:t>
            </w:r>
          </w:p>
        </w:tc>
        <w:tc>
          <w:tcPr>
            <w:tcW w:type="pct" w:w="4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https://www.frontiersin.org/journals/psychology/articles/10.3389/fpsyg.2023.1257641/full</w:t>
            </w:r>
          </w:p>
        </w:tc>
      </w:tr>
      <w:tr>
        <w:trPr>
          <w:tblHeader w:val="false"/>
        </w:trPr>
        <w:tc>
          <w:tcPr>
            <w:tcW w:type="pct" w:w="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15</w:t>
            </w:r>
          </w:p>
        </w:tc>
        <w:tc>
          <w:tcPr>
            <w:tcW w:type="pct" w:w="5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Emotion regulation from early adolescence to emerging adulthood (Zimmermann &amp; Iwanski)</w:t>
            </w:r>
          </w:p>
        </w:tc>
        <w:tc>
          <w:tcPr>
            <w:tcW w:type="pct" w:w="4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https://journals.sagepub.com/doi/10.1177/0165025413515405</w:t>
            </w:r>
          </w:p>
        </w:tc>
      </w:tr>
      <w:tr>
        <w:trPr>
          <w:tblHeader w:val="false"/>
        </w:trPr>
        <w:tc>
          <w:tcPr>
            <w:tcW w:type="pct" w:w="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16</w:t>
            </w:r>
          </w:p>
        </w:tc>
        <w:tc>
          <w:tcPr>
            <w:tcW w:type="pct" w:w="5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Autonomy in adolescence (Beyers, Soenens, Vansteenkiste)</w:t>
            </w:r>
          </w:p>
        </w:tc>
        <w:tc>
          <w:tcPr>
            <w:tcW w:type="pct" w:w="4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https://selfdeterminationtheory.org/wp-content/uploads/2024/03/2024_BeyersSoenensVansteenkiste_EJODP.pdf</w:t>
            </w:r>
          </w:p>
        </w:tc>
      </w:tr>
      <w:tr>
        <w:trPr>
          <w:tblHeader w:val="false"/>
        </w:trPr>
        <w:tc>
          <w:tcPr>
            <w:tcW w:type="pct" w:w="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17</w:t>
            </w:r>
          </w:p>
        </w:tc>
        <w:tc>
          <w:tcPr>
            <w:tcW w:type="pct" w:w="5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Eccles &amp; Wigfield — Situated Expectancy-Value Model (Educational Psychology Review)</w:t>
            </w:r>
          </w:p>
        </w:tc>
        <w:tc>
          <w:tcPr>
            <w:tcW w:type="pct" w:w="4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https://link.springer.com/article/10.1007/s10648-024-09888-9</w:t>
            </w:r>
          </w:p>
        </w:tc>
      </w:tr>
      <w:tr>
        <w:trPr>
          <w:tblHeader w:val="false"/>
        </w:trPr>
        <w:tc>
          <w:tcPr>
            <w:tcW w:type="pct" w:w="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18</w:t>
            </w:r>
          </w:p>
        </w:tc>
        <w:tc>
          <w:tcPr>
            <w:tcW w:type="pct" w:w="5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Fredricks, Blumenfeld, Paris — School Engagement (Review of Educational Research)</w:t>
            </w:r>
          </w:p>
        </w:tc>
        <w:tc>
          <w:tcPr>
            <w:tcW w:type="pct" w:w="4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https://journals.sagepub.com/doi/10.3102/00346543074001059</w:t>
            </w:r>
          </w:p>
        </w:tc>
      </w:tr>
      <w:tr>
        <w:trPr>
          <w:tblHeader w:val="false"/>
        </w:trPr>
        <w:tc>
          <w:tcPr>
            <w:tcW w:type="pct" w:w="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19</w:t>
            </w:r>
          </w:p>
        </w:tc>
        <w:tc>
          <w:tcPr>
            <w:tcW w:type="pct" w:w="5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Csikszentmihalyi — Flow theory (Maverick Learning)</w:t>
            </w:r>
          </w:p>
        </w:tc>
        <w:tc>
          <w:tcPr>
            <w:tcW w:type="pct" w:w="4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https://mlpp.pressbooks.pub/mavlearn/chapter/flow-theory</w:t>
            </w:r>
          </w:p>
        </w:tc>
      </w:tr>
      <w:tr>
        <w:trPr>
          <w:tblHeader w:val="false"/>
        </w:trPr>
        <w:tc>
          <w:tcPr>
            <w:tcW w:type="pct" w:w="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20</w:t>
            </w:r>
          </w:p>
        </w:tc>
        <w:tc>
          <w:tcPr>
            <w:tcW w:type="pct" w:w="5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Sisk et al. — Growth mindset meta-analyses (Psychological Science)</w:t>
            </w:r>
          </w:p>
        </w:tc>
        <w:tc>
          <w:tcPr>
            <w:tcW w:type="pct" w:w="4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https://journals.sagepub.com/doi/10.1177/0956797617739704</w:t>
            </w:r>
          </w:p>
        </w:tc>
      </w:tr>
      <w:tr>
        <w:trPr>
          <w:tblHeader w:val="false"/>
        </w:trPr>
        <w:tc>
          <w:tcPr>
            <w:tcW w:type="pct" w:w="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21</w:t>
            </w:r>
          </w:p>
        </w:tc>
        <w:tc>
          <w:tcPr>
            <w:tcW w:type="pct" w:w="5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Macnamara &amp; Burgoyne — Growth mindset interventions (Psychological Bulletin)</w:t>
            </w:r>
          </w:p>
        </w:tc>
        <w:tc>
          <w:tcPr>
            <w:tcW w:type="pct" w:w="4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https://psycnet.apa.org/record/2023-14088-001</w:t>
            </w:r>
          </w:p>
        </w:tc>
      </w:tr>
      <w:tr>
        <w:trPr>
          <w:tblHeader w:val="false"/>
        </w:trPr>
        <w:tc>
          <w:tcPr>
            <w:tcW w:type="pct" w:w="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22</w:t>
            </w:r>
          </w:p>
        </w:tc>
        <w:tc>
          <w:tcPr>
            <w:tcW w:type="pct" w:w="5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Yeager et al. — National experiment on growth mindset (Nature)</w:t>
            </w:r>
          </w:p>
        </w:tc>
        <w:tc>
          <w:tcPr>
            <w:tcW w:type="pct" w:w="4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https://www.nature.com/articles/s41586-019-1466-y</w:t>
            </w:r>
          </w:p>
        </w:tc>
      </w:tr>
      <w:tr>
        <w:trPr>
          <w:tblHeader w:val="false"/>
        </w:trPr>
        <w:tc>
          <w:tcPr>
            <w:tcW w:type="pct" w:w="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23</w:t>
            </w:r>
          </w:p>
        </w:tc>
        <w:tc>
          <w:tcPr>
            <w:tcW w:type="pct" w:w="5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Hattie Ranking: 252 Influences And Effect Sizes (Visible Learning)</w:t>
            </w:r>
          </w:p>
        </w:tc>
        <w:tc>
          <w:tcPr>
            <w:tcW w:type="pct" w:w="4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https://visible-learning.org/hattie-ranking-influences-effect-sizes-learning-achievement/</w:t>
            </w:r>
          </w:p>
        </w:tc>
      </w:tr>
      <w:tr>
        <w:trPr>
          <w:tblHeader w:val="false"/>
        </w:trPr>
        <w:tc>
          <w:tcPr>
            <w:tcW w:type="pct" w:w="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24</w:t>
            </w:r>
          </w:p>
        </w:tc>
        <w:tc>
          <w:tcPr>
            <w:tcW w:type="pct" w:w="5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Bergeron — How to Engage in Pseudoscience With Real Data (критика Хэтти)</w:t>
            </w:r>
          </w:p>
        </w:tc>
        <w:tc>
          <w:tcPr>
            <w:tcW w:type="pct" w:w="4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https://erudit.org/en/journals/mje/2016-v51-n2-mje02894/1038611ar.pdf</w:t>
            </w:r>
          </w:p>
        </w:tc>
      </w:tr>
      <w:tr>
        <w:trPr>
          <w:tblHeader w:val="false"/>
        </w:trPr>
        <w:tc>
          <w:tcPr>
            <w:tcW w:type="pct" w:w="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25</w:t>
            </w:r>
          </w:p>
        </w:tc>
        <w:tc>
          <w:tcPr>
            <w:tcW w:type="pct" w:w="5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Adesope et al. — Meta-Analysis of Practice Testing (RER)</w:t>
            </w:r>
          </w:p>
        </w:tc>
        <w:tc>
          <w:tcPr>
            <w:tcW w:type="pct" w:w="4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https://journals.sagepub.com/doi/10.3102/0034654316689306</w:t>
            </w:r>
          </w:p>
        </w:tc>
      </w:tr>
      <w:tr>
        <w:trPr>
          <w:tblHeader w:val="false"/>
        </w:trPr>
        <w:tc>
          <w:tcPr>
            <w:tcW w:type="pct" w:w="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26</w:t>
            </w:r>
          </w:p>
        </w:tc>
        <w:tc>
          <w:tcPr>
            <w:tcW w:type="pct" w:w="5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Cepeda et al. — Distributed practice meta-analysis (Psychological Bulletin)</w:t>
            </w:r>
          </w:p>
        </w:tc>
        <w:tc>
          <w:tcPr>
            <w:tcW w:type="pct" w:w="4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https://psycnet.apa.org/doi/10.1037/0033-2909.132.3.354</w:t>
            </w:r>
          </w:p>
        </w:tc>
      </w:tr>
      <w:tr>
        <w:trPr>
          <w:tblHeader w:val="false"/>
        </w:trPr>
        <w:tc>
          <w:tcPr>
            <w:tcW w:type="pct" w:w="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27</w:t>
            </w:r>
          </w:p>
        </w:tc>
        <w:tc>
          <w:tcPr>
            <w:tcW w:type="pct" w:w="5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Rohrer &amp; Taylor — Shuffling of mathematics problems (Instructional Science)</w:t>
            </w:r>
          </w:p>
        </w:tc>
        <w:tc>
          <w:tcPr>
            <w:tcW w:type="pct" w:w="4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https://link.springer.com/article/10.1007/s11251-007-9015-8</w:t>
            </w:r>
          </w:p>
        </w:tc>
      </w:tr>
      <w:tr>
        <w:trPr>
          <w:tblHeader w:val="false"/>
        </w:trPr>
        <w:tc>
          <w:tcPr>
            <w:tcW w:type="pct" w:w="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28</w:t>
            </w:r>
          </w:p>
        </w:tc>
        <w:tc>
          <w:tcPr>
            <w:tcW w:type="pct" w:w="5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Wisniewski, Zierer, Hattie — The Power of Feedback Revisited (Frontiers)</w:t>
            </w:r>
          </w:p>
        </w:tc>
        <w:tc>
          <w:tcPr>
            <w:tcW w:type="pct" w:w="4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https://www.frontiersin.org/journals/psychology/articles/10.3389/fpsyg.2019.03087/full</w:t>
            </w:r>
          </w:p>
        </w:tc>
      </w:tr>
      <w:tr>
        <w:trPr>
          <w:tblHeader w:val="false"/>
        </w:trPr>
        <w:tc>
          <w:tcPr>
            <w:tcW w:type="pct" w:w="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29</w:t>
            </w:r>
          </w:p>
        </w:tc>
        <w:tc>
          <w:tcPr>
            <w:tcW w:type="pct" w:w="5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Bisra et al. — Inducing Self-Explanation meta-analysis (EDPR)</w:t>
            </w:r>
          </w:p>
        </w:tc>
        <w:tc>
          <w:tcPr>
            <w:tcW w:type="pct" w:w="4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https://link.springer.com/article/10.1007/s10648-018-9434-x</w:t>
            </w:r>
          </w:p>
        </w:tc>
      </w:tr>
      <w:tr>
        <w:trPr>
          <w:tblHeader w:val="false"/>
        </w:trPr>
        <w:tc>
          <w:tcPr>
            <w:tcW w:type="pct" w:w="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30</w:t>
            </w:r>
          </w:p>
        </w:tc>
        <w:tc>
          <w:tcPr>
            <w:tcW w:type="pct" w:w="5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Rosenshine — Principles of Instruction (AFT)</w:t>
            </w:r>
          </w:p>
        </w:tc>
        <w:tc>
          <w:tcPr>
            <w:tcW w:type="pct" w:w="4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https://www.aft.org/sites/default/files/Rosenshine.pdf</w:t>
            </w:r>
          </w:p>
        </w:tc>
      </w:tr>
      <w:tr>
        <w:trPr>
          <w:tblHeader w:val="false"/>
        </w:trPr>
        <w:tc>
          <w:tcPr>
            <w:tcW w:type="pct" w:w="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31</w:t>
            </w:r>
          </w:p>
        </w:tc>
        <w:tc>
          <w:tcPr>
            <w:tcW w:type="pct" w:w="5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Pashler et al. — Learning Styles (PSPI)</w:t>
            </w:r>
          </w:p>
        </w:tc>
        <w:tc>
          <w:tcPr>
            <w:tcW w:type="pct" w:w="4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https://journals.sagepub.com/doi/full/10.1111/j.1539-6053.2009.01038.x</w:t>
            </w:r>
          </w:p>
        </w:tc>
      </w:tr>
      <w:tr>
        <w:trPr>
          <w:tblHeader w:val="false"/>
        </w:trPr>
        <w:tc>
          <w:tcPr>
            <w:tcW w:type="pct" w:w="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32</w:t>
            </w:r>
          </w:p>
        </w:tc>
        <w:tc>
          <w:tcPr>
            <w:tcW w:type="pct" w:w="5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Dekker et al. — Neuromyths in Education (Frontiers)</w:t>
            </w:r>
          </w:p>
        </w:tc>
        <w:tc>
          <w:tcPr>
            <w:tcW w:type="pct" w:w="4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https://www.frontiersin.org/journals/psychology/articles/10.3389/fpsyg.2012.00429/full</w:t>
            </w:r>
          </w:p>
        </w:tc>
      </w:tr>
      <w:tr>
        <w:trPr>
          <w:tblHeader w:val="false"/>
        </w:trPr>
        <w:tc>
          <w:tcPr>
            <w:tcW w:type="pct" w:w="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33</w:t>
            </w:r>
          </w:p>
        </w:tc>
        <w:tc>
          <w:tcPr>
            <w:tcW w:type="pct" w:w="5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Dunlosky et al. — Improving Students’ Learning (PSPI)</w:t>
            </w:r>
          </w:p>
        </w:tc>
        <w:tc>
          <w:tcPr>
            <w:tcW w:type="pct" w:w="4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https://journals.sagepub.com/doi/abs/10.1177/1529100612453266</w:t>
            </w:r>
          </w:p>
        </w:tc>
      </w:tr>
      <w:tr>
        <w:trPr>
          <w:tblHeader w:val="false"/>
        </w:trPr>
        <w:tc>
          <w:tcPr>
            <w:tcW w:type="pct" w:w="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34</w:t>
            </w:r>
          </w:p>
        </w:tc>
        <w:tc>
          <w:tcPr>
            <w:tcW w:type="pct" w:w="5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Holland RIASEC — Theory and effectiveness (Frontiers)</w:t>
            </w:r>
          </w:p>
        </w:tc>
        <w:tc>
          <w:tcPr>
            <w:tcW w:type="pct" w:w="4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https://www.frontiersin.org/journals/organizational-psychology/articles/10.3389/forgp.2026.1792707/full</w:t>
            </w:r>
          </w:p>
        </w:tc>
      </w:tr>
      <w:tr>
        <w:trPr>
          <w:tblHeader w:val="false"/>
        </w:trPr>
        <w:tc>
          <w:tcPr>
            <w:tcW w:type="pct" w:w="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35</w:t>
            </w:r>
          </w:p>
        </w:tc>
        <w:tc>
          <w:tcPr>
            <w:tcW w:type="pct" w:w="5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Gottfredson — Circumscription and Compromise (оригинал)</w:t>
            </w:r>
          </w:p>
        </w:tc>
        <w:tc>
          <w:tcPr>
            <w:tcW w:type="pct" w:w="4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https://www1.udel.edu/educ/gottfredson/reprints/1981CCtheory.pdf</w:t>
            </w:r>
          </w:p>
        </w:tc>
      </w:tr>
      <w:tr>
        <w:trPr>
          <w:tblHeader w:val="false"/>
        </w:trPr>
        <w:tc>
          <w:tcPr>
            <w:tcW w:type="pct" w:w="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36</w:t>
            </w:r>
          </w:p>
        </w:tc>
        <w:tc>
          <w:tcPr>
            <w:tcW w:type="pct" w:w="5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Savickas — Career Construction Theory (монография)</w:t>
            </w:r>
          </w:p>
        </w:tc>
        <w:tc>
          <w:tcPr>
            <w:tcW w:type="pct" w:w="4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https://www.marksavickas.com/files/1_Savickas_bio/Career%20Construction%20Theory/Publications/Books/Career%20Construction%20Theory/Career_Construction_Theory_Book.pdf</w:t>
            </w:r>
          </w:p>
        </w:tc>
      </w:tr>
      <w:tr>
        <w:trPr>
          <w:tblHeader w:val="false"/>
        </w:trPr>
        <w:tc>
          <w:tcPr>
            <w:tcW w:type="pct" w:w="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37</w:t>
            </w:r>
          </w:p>
        </w:tc>
        <w:tc>
          <w:tcPr>
            <w:tcW w:type="pct" w:w="5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School Counselors’ Use of Marcia’s Identity Status Theory (ERIC)</w:t>
            </w:r>
          </w:p>
        </w:tc>
        <w:tc>
          <w:tcPr>
            <w:tcW w:type="pct" w:w="4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https://files.eric.ed.gov/fulltext/EJ1326053.pdf</w:t>
            </w:r>
          </w:p>
        </w:tc>
      </w:tr>
      <w:tr>
        <w:trPr>
          <w:tblHeader w:val="false"/>
        </w:trPr>
        <w:tc>
          <w:tcPr>
            <w:tcW w:type="pct" w:w="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38</w:t>
            </w:r>
          </w:p>
        </w:tc>
        <w:tc>
          <w:tcPr>
            <w:tcW w:type="pct" w:w="5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RIASEC as career interventions: theory and effectiveness (Frontiers, содержит Whiston et al. 2017)</w:t>
            </w:r>
          </w:p>
        </w:tc>
        <w:tc>
          <w:tcPr>
            <w:tcW w:type="pct" w:w="4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https://www.frontiersin.org/journals/organizational-psychology/articles/10.3389/forgp.2026.1792707/full</w:t>
            </w:r>
          </w:p>
        </w:tc>
      </w:tr>
      <w:tr>
        <w:trPr>
          <w:tblHeader w:val="false"/>
        </w:trPr>
        <w:tc>
          <w:tcPr>
            <w:tcW w:type="pct" w:w="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39</w:t>
            </w:r>
          </w:p>
        </w:tc>
        <w:tc>
          <w:tcPr>
            <w:tcW w:type="pct" w:w="5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Beland &amp; Murphy — Mobile phone ban and student performance (LSE)</w:t>
            </w:r>
          </w:p>
        </w:tc>
        <w:tc>
          <w:tcPr>
            <w:tcW w:type="pct" w:w="4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https://cep.lse.ac.uk/pubs/download/dp1350.pdf</w:t>
            </w:r>
          </w:p>
        </w:tc>
      </w:tr>
      <w:tr>
        <w:trPr>
          <w:tblHeader w:val="false"/>
        </w:trPr>
        <w:tc>
          <w:tcPr>
            <w:tcW w:type="pct" w:w="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40</w:t>
            </w:r>
          </w:p>
        </w:tc>
        <w:tc>
          <w:tcPr>
            <w:tcW w:type="pct" w:w="5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OECD — Preparing youth for work: What works in career guidance</w:t>
            </w:r>
          </w:p>
        </w:tc>
        <w:tc>
          <w:tcPr>
            <w:tcW w:type="pct" w:w="4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https://oecdedutoday.com/preparing-youth-for-work-what-works-career-guidance</w:t>
            </w:r>
          </w:p>
        </w:tc>
      </w:tr>
      <w:tr>
        <w:trPr>
          <w:tblHeader w:val="false"/>
        </w:trPr>
        <w:tc>
          <w:tcPr>
            <w:tcW w:type="pct" w:w="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41</w:t>
            </w:r>
          </w:p>
        </w:tc>
        <w:tc>
          <w:tcPr>
            <w:tcW w:type="pct" w:w="5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OECD PISA — данные о SES и успеваемости</w:t>
            </w:r>
          </w:p>
        </w:tc>
        <w:tc>
          <w:tcPr>
            <w:tcW w:type="pct" w:w="4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https://www.oecd.org/en/about/programmes/pisa.html</w:t>
            </w:r>
          </w:p>
        </w:tc>
      </w:tr>
      <w:tr>
        <w:trPr>
          <w:tblHeader w:val="false"/>
        </w:trPr>
        <w:tc>
          <w:tcPr>
            <w:tcW w:type="pct" w:w="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42</w:t>
            </w:r>
          </w:p>
        </w:tc>
        <w:tc>
          <w:tcPr>
            <w:tcW w:type="pct" w:w="5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Hill &amp; Tyson — Parental Involvement in Middle School (Developmental Psychology)</w:t>
            </w:r>
          </w:p>
        </w:tc>
        <w:tc>
          <w:tcPr>
            <w:tcW w:type="pct" w:w="4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https://www.apa.org/pubs/journals/releases/dev453740.pdf</w:t>
            </w:r>
          </w:p>
        </w:tc>
      </w:tr>
      <w:tr>
        <w:trPr>
          <w:tblHeader w:val="false"/>
        </w:trPr>
        <w:tc>
          <w:tcPr>
            <w:tcW w:type="pct" w:w="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43</w:t>
            </w:r>
          </w:p>
        </w:tc>
        <w:tc>
          <w:tcPr>
            <w:tcW w:type="pct" w:w="5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Chetty, Friedman, Rockoff — Long-Term Impacts of Teachers (American Economic Review)</w:t>
            </w:r>
          </w:p>
        </w:tc>
        <w:tc>
          <w:tcPr>
            <w:tcW w:type="pct" w:w="4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https://www.aeaweb.org/articles?id=10.1257/aer.104.9.2593</w:t>
            </w:r>
          </w:p>
        </w:tc>
      </w:tr>
      <w:tr>
        <w:trPr>
          <w:tblHeader w:val="false"/>
        </w:trPr>
        <w:tc>
          <w:tcPr>
            <w:tcW w:type="pct" w:w="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44</w:t>
            </w:r>
          </w:p>
        </w:tc>
        <w:tc>
          <w:tcPr>
            <w:tcW w:type="pct" w:w="5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School belonging meta-analysis — Academic outcomes</w:t>
            </w:r>
          </w:p>
        </w:tc>
        <w:tc>
          <w:tcPr>
            <w:tcW w:type="pct" w:w="4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https://www.tandfonline.com/doi/full/10.1080/02671522.2019.1615116</w:t>
            </w:r>
          </w:p>
        </w:tc>
      </w:tr>
      <w:tr>
        <w:trPr>
          <w:tblHeader w:val="false"/>
        </w:trPr>
        <w:tc>
          <w:tcPr>
            <w:tcW w:type="pct" w:w="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45</w:t>
            </w:r>
          </w:p>
        </w:tc>
        <w:tc>
          <w:tcPr>
            <w:tcW w:type="pct" w:w="5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Allen et al. — Fostering School Belonging meta-analysis (EDPR)</w:t>
            </w:r>
          </w:p>
        </w:tc>
        <w:tc>
          <w:tcPr>
            <w:tcW w:type="pct" w:w="4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https://link.springer.com/article/10.1007/s10648-016-9389-8</w:t>
            </w:r>
          </w:p>
        </w:tc>
      </w:tr>
      <w:tr>
        <w:trPr>
          <w:tblHeader w:val="false"/>
        </w:trPr>
        <w:tc>
          <w:tcPr>
            <w:tcW w:type="pct" w:w="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46</w:t>
            </w:r>
          </w:p>
        </w:tc>
        <w:tc>
          <w:tcPr>
            <w:tcW w:type="pct" w:w="5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Эффект Розенталя (Пигмалион) — обзор</w:t>
            </w:r>
          </w:p>
        </w:tc>
        <w:tc>
          <w:tcPr>
            <w:tcW w:type="pct" w:w="4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https://ru.wikipedia.org/wiki/Эффект_Розенталя</w:t>
            </w:r>
          </w:p>
        </w:tc>
      </w:tr>
      <w:tr>
        <w:trPr>
          <w:tblHeader w:val="false"/>
        </w:trPr>
        <w:tc>
          <w:tcPr>
            <w:tcW w:type="pct" w:w="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47</w:t>
            </w:r>
          </w:p>
        </w:tc>
        <w:tc>
          <w:tcPr>
            <w:tcW w:type="pct" w:w="5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Orben &amp; Przybylski — Digital technology and adolescent wellbeing (Nature Hum Behav)</w:t>
            </w:r>
          </w:p>
        </w:tc>
        <w:tc>
          <w:tcPr>
            <w:tcW w:type="pct" w:w="4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https://www.nature.com/articles/s41562-018-0506-1</w:t>
            </w:r>
          </w:p>
        </w:tc>
      </w:tr>
      <w:tr>
        <w:trPr>
          <w:tblHeader w:val="false"/>
        </w:trPr>
        <w:tc>
          <w:tcPr>
            <w:tcW w:type="pct" w:w="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48</w:t>
            </w:r>
          </w:p>
        </w:tc>
        <w:tc>
          <w:tcPr>
            <w:tcW w:type="pct" w:w="5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Twenge et al. — Underestimating digital media harm (Nature Hum Behav)</w:t>
            </w:r>
          </w:p>
        </w:tc>
        <w:tc>
          <w:tcPr>
            <w:tcW w:type="pct" w:w="4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https://www.nature.com/articles/s41562-020-0839-4</w:t>
            </w:r>
          </w:p>
        </w:tc>
      </w:tr>
      <w:tr>
        <w:trPr>
          <w:tblHeader w:val="false"/>
        </w:trPr>
        <w:tc>
          <w:tcPr>
            <w:tcW w:type="pct" w:w="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49</w:t>
            </w:r>
          </w:p>
        </w:tc>
        <w:tc>
          <w:tcPr>
            <w:tcW w:type="pct" w:w="5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Keles et al. — Social media and adolescent depression/anxiety (systematic review)</w:t>
            </w:r>
          </w:p>
        </w:tc>
        <w:tc>
          <w:tcPr>
            <w:tcW w:type="pct" w:w="4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https://www.tandfonline.com/doi/full/10.1080/02673843.2019.1590851</w:t>
            </w:r>
          </w:p>
        </w:tc>
      </w:tr>
      <w:tr>
        <w:trPr>
          <w:tblHeader w:val="false"/>
        </w:trPr>
        <w:tc>
          <w:tcPr>
            <w:tcW w:type="pct" w:w="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50</w:t>
            </w:r>
          </w:p>
        </w:tc>
        <w:tc>
          <w:tcPr>
            <w:tcW w:type="pct" w:w="5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Surgeon General’s Advisory — Social Media and Youth Mental Health (HHS)</w:t>
            </w:r>
          </w:p>
        </w:tc>
        <w:tc>
          <w:tcPr>
            <w:tcW w:type="pct" w:w="4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https://www.hhs.gov/surgeongeneral/priorities/youth-mental-health/social-media/index.html</w:t>
            </w:r>
          </w:p>
        </w:tc>
      </w:tr>
      <w:tr>
        <w:trPr>
          <w:tblHeader w:val="false"/>
        </w:trPr>
        <w:tc>
          <w:tcPr>
            <w:tcW w:type="pct" w:w="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51</w:t>
            </w:r>
          </w:p>
        </w:tc>
        <w:tc>
          <w:tcPr>
            <w:tcW w:type="pct" w:w="5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WHO — Mental health of adolescents (fact sheet)</w:t>
            </w:r>
          </w:p>
        </w:tc>
        <w:tc>
          <w:tcPr>
            <w:tcW w:type="pct" w:w="4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https://www.who.int/news-room/fact-sheets/detail/adolescent-mental-health</w:t>
            </w:r>
          </w:p>
        </w:tc>
      </w:tr>
      <w:tr>
        <w:trPr>
          <w:tblHeader w:val="false"/>
        </w:trPr>
        <w:tc>
          <w:tcPr>
            <w:tcW w:type="pct" w:w="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52</w:t>
            </w:r>
          </w:p>
        </w:tc>
        <w:tc>
          <w:tcPr>
            <w:tcW w:type="pct" w:w="5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Внешкольные занятия и благополучие школьников (ИО НИУ ВШЭ)</w:t>
            </w:r>
          </w:p>
        </w:tc>
        <w:tc>
          <w:tcPr>
            <w:tcW w:type="pct" w:w="4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https://poisknews.ru/ekspertiza/vneshkolnye-zanyatiya-i-blagopoluchie-shkolnikov-rezultaty-issledovaniya-uchenyh-niu-vshe</w:t>
            </w:r>
          </w:p>
        </w:tc>
      </w:tr>
      <w:tr>
        <w:trPr>
          <w:tblHeader w:val="false"/>
        </w:trPr>
        <w:tc>
          <w:tcPr>
            <w:tcW w:type="pct" w:w="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53</w:t>
            </w:r>
          </w:p>
        </w:tc>
        <w:tc>
          <w:tcPr>
            <w:tcW w:type="pct" w:w="5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OECD — Students, digital devices and success (PISA 2022)</w:t>
            </w:r>
          </w:p>
        </w:tc>
        <w:tc>
          <w:tcPr>
            <w:tcW w:type="pct" w:w="4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https://www.oecd.org/en/publications/students-digital-devices-and-success_9e4c0624-en.html</w:t>
            </w:r>
          </w:p>
        </w:tc>
      </w:tr>
      <w:tr>
        <w:trPr>
          <w:tblHeader w:val="false"/>
        </w:trPr>
        <w:tc>
          <w:tcPr>
            <w:tcW w:type="pct" w:w="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54</w:t>
            </w:r>
          </w:p>
        </w:tc>
        <w:tc>
          <w:tcPr>
            <w:tcW w:type="pct" w:w="5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Kong et al. — Media multitasking and cognitive control meta-analysis</w:t>
            </w:r>
          </w:p>
        </w:tc>
        <w:tc>
          <w:tcPr>
            <w:tcW w:type="pct" w:w="4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https://link.springer.com/article/10.1007/s10648-023-09746-0</w:t>
            </w:r>
          </w:p>
        </w:tc>
      </w:tr>
      <w:tr>
        <w:trPr>
          <w:tblHeader w:val="false"/>
        </w:trPr>
        <w:tc>
          <w:tcPr>
            <w:tcW w:type="pct" w:w="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55</w:t>
            </w:r>
          </w:p>
        </w:tc>
        <w:tc>
          <w:tcPr>
            <w:tcW w:type="pct" w:w="5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He et al. — Screen time and sleep in adolescents (Frontiers in Psychiatry)</w:t>
            </w:r>
          </w:p>
        </w:tc>
        <w:tc>
          <w:tcPr>
            <w:tcW w:type="pct" w:w="4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https://www.frontiersin.org/journals/psychiatry/articles/10.3389/fpsyt.2025.1640263/full</w:t>
            </w:r>
          </w:p>
        </w:tc>
      </w:tr>
      <w:tr>
        <w:trPr>
          <w:tblHeader w:val="false"/>
        </w:trPr>
        <w:tc>
          <w:tcPr>
            <w:tcW w:type="pct" w:w="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56</w:t>
            </w:r>
          </w:p>
        </w:tc>
        <w:tc>
          <w:tcPr>
            <w:tcW w:type="pct" w:w="5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WHO — Global guidelines on physical activity and sedentary behaviour</w:t>
            </w:r>
          </w:p>
        </w:tc>
        <w:tc>
          <w:tcPr>
            <w:tcW w:type="pct" w:w="4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https://www.who.int/publications/i/item/9789240015128</w:t>
            </w:r>
          </w:p>
        </w:tc>
      </w:tr>
      <w:tr>
        <w:trPr>
          <w:tblHeader w:val="false"/>
        </w:trPr>
        <w:tc>
          <w:tcPr>
            <w:tcW w:type="pct" w:w="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57</w:t>
            </w:r>
          </w:p>
        </w:tc>
        <w:tc>
          <w:tcPr>
            <w:tcW w:type="pct" w:w="5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WHO — Physical activity fact sheet</w:t>
            </w:r>
          </w:p>
        </w:tc>
        <w:tc>
          <w:tcPr>
            <w:tcW w:type="pct" w:w="4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https://www.who.int/news-room/fact-sheets/detail/physical-activity</w:t>
            </w:r>
          </w:p>
        </w:tc>
      </w:tr>
      <w:tr>
        <w:trPr>
          <w:tblHeader w:val="false"/>
        </w:trPr>
        <w:tc>
          <w:tcPr>
            <w:tcW w:type="pct" w:w="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58</w:t>
            </w:r>
          </w:p>
        </w:tc>
        <w:tc>
          <w:tcPr>
            <w:tcW w:type="pct" w:w="5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Единая модель профориентации «Билет в будущее»/профминимум (Минпросвещения)</w:t>
            </w:r>
          </w:p>
        </w:tc>
        <w:tc>
          <w:tcPr>
            <w:tcW w:type="pct" w:w="4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https://bvbinfo.ru/profminimum</w:t>
            </w:r>
          </w:p>
        </w:tc>
      </w:tr>
      <w:tr>
        <w:trPr>
          <w:tblHeader w:val="false"/>
        </w:trPr>
        <w:tc>
          <w:tcPr>
            <w:tcW w:type="pct" w:w="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59</w:t>
            </w:r>
          </w:p>
        </w:tc>
        <w:tc>
          <w:tcPr>
            <w:tcW w:type="pct" w:w="5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Профориентация — Минпросвещения России (нормативная база)</w:t>
            </w:r>
          </w:p>
        </w:tc>
        <w:tc>
          <w:tcPr>
            <w:tcW w:type="pct" w:w="4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https://edu.gov.ru/career_guidance</w:t>
            </w:r>
          </w:p>
        </w:tc>
      </w:tr>
      <w:tr>
        <w:trPr>
          <w:tblHeader w:val="false"/>
        </w:trPr>
        <w:tc>
          <w:tcPr>
            <w:tcW w:type="pct" w:w="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60</w:t>
            </w:r>
          </w:p>
        </w:tc>
        <w:tc>
          <w:tcPr>
            <w:tcW w:type="pct" w:w="5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PISA — результаты России (ФИОКО)</w:t>
            </w:r>
          </w:p>
        </w:tc>
        <w:tc>
          <w:tcPr>
            <w:tcW w:type="pct" w:w="4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https://fioco.ru/pisa</w:t>
            </w:r>
          </w:p>
        </w:tc>
      </w:tr>
      <w:tr>
        <w:trPr>
          <w:tblHeader w:val="false"/>
        </w:trPr>
        <w:tc>
          <w:tcPr>
            <w:tcW w:type="pct" w:w="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61</w:t>
            </w:r>
          </w:p>
        </w:tc>
        <w:tc>
          <w:tcPr>
            <w:tcW w:type="pct" w:w="5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Результаты общероссийской оценки по модели PISA-2022 (ФИОКО, отчёт)</w:t>
            </w:r>
          </w:p>
        </w:tc>
        <w:tc>
          <w:tcPr>
            <w:tcW w:type="pct" w:w="4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https://fioco.ru/Media/Default/Documents/%D0%9E%D1%82%D1%87%D0%B5%D1%82_%D0%BE%D0%B1%D1%89%D0%B5%D1%80%D0%BE%D1%81%D1%81%D0%B8%D0%B9%D1%81%D0%BA%D0%B0%D1%8F%20%D0%BE%D1%86%D0%B5%D0%BD%D0%BA%D0%B0%20%D0%BF%D0%BE%20%D0%BC%D0%BE%D0%B4%D0%B5%D0%BB%D0%B8%20PISA-2022%20(2).pdf</w:t>
            </w:r>
          </w:p>
        </w:tc>
      </w:tr>
      <w:tr>
        <w:trPr>
          <w:tblHeader w:val="false"/>
        </w:trPr>
        <w:tc>
          <w:tcPr>
            <w:tcW w:type="pct" w:w="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62</w:t>
            </w:r>
          </w:p>
        </w:tc>
        <w:tc>
          <w:tcPr>
            <w:tcW w:type="pct" w:w="5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«Будущее как в тумане» — неопределённость выпускников (ИО НИУ ВШЭ)</w:t>
            </w:r>
          </w:p>
        </w:tc>
        <w:tc>
          <w:tcPr>
            <w:tcW w:type="pct" w:w="4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https://ioe.hse.ru/news/792091666.html</w:t>
            </w:r>
          </w:p>
        </w:tc>
      </w:tr>
      <w:tr>
        <w:trPr>
          <w:tblHeader w:val="false"/>
        </w:trPr>
        <w:tc>
          <w:tcPr>
            <w:tcW w:type="pct" w:w="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63</w:t>
            </w:r>
          </w:p>
        </w:tc>
        <w:tc>
          <w:tcPr>
            <w:tcW w:type="pct" w:w="5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РБК Тренды — 42% школьников недооценивают шансы ЕГЭ</w:t>
            </w:r>
          </w:p>
        </w:tc>
        <w:tc>
          <w:tcPr>
            <w:tcW w:type="pct" w:w="4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https://trends.rbc.ru/trends/education/682ee1ad9a7947144b56c284</w:t>
            </w:r>
          </w:p>
        </w:tc>
      </w:tr>
      <w:tr>
        <w:trPr>
          <w:tblHeader w:val="false"/>
        </w:trPr>
        <w:tc>
          <w:tcPr>
            <w:tcW w:type="pct" w:w="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64</w:t>
            </w:r>
          </w:p>
        </w:tc>
        <w:tc>
          <w:tcPr>
            <w:tcW w:type="pct" w:w="5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Предпрофессиональное образование Москвы (Школа.Москва)</w:t>
            </w:r>
          </w:p>
        </w:tc>
        <w:tc>
          <w:tcPr>
            <w:tcW w:type="pct" w:w="4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https://mskobr.ru/school</w:t>
            </w:r>
          </w:p>
        </w:tc>
      </w:tr>
      <w:tr>
        <w:trPr>
          <w:tblHeader w:val="false"/>
        </w:trPr>
        <w:tc>
          <w:tcPr>
            <w:tcW w:type="pct" w:w="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65</w:t>
            </w:r>
          </w:p>
        </w:tc>
        <w:tc>
          <w:tcPr>
            <w:tcW w:type="pct" w:w="5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Экранное время детям и взрослым (Роспотребнадзор)</w:t>
            </w:r>
          </w:p>
        </w:tc>
        <w:tc>
          <w:tcPr>
            <w:tcW w:type="pct" w:w="4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https://cgon.rospotrebnadzor.ru/naseleniyu/zdorovyy-obraz-zhizni/ekrannoe-vremya-detyam-i-vzroslym</w:t>
            </w:r>
          </w:p>
        </w:tc>
      </w:tr>
      <w:tr>
        <w:trPr>
          <w:tblHeader w:val="false"/>
        </w:trPr>
        <w:tc>
          <w:tcPr>
            <w:tcW w:type="pct" w:w="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66</w:t>
            </w:r>
          </w:p>
        </w:tc>
        <w:tc>
          <w:tcPr>
            <w:tcW w:type="pct" w:w="5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Атлас новых профессий (Павел Лукша и др.) — Сколково</w:t>
            </w:r>
          </w:p>
        </w:tc>
        <w:tc>
          <w:tcPr>
            <w:tcW w:type="pct" w:w="4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https://www.skolkovo.ru/public/media/documents/research/sedec/SKOLKOVO_SEDeC_Atlas.pdf</w:t>
            </w:r>
          </w:p>
        </w:tc>
      </w:tr>
    </w:tbl>
    <w:p>
      <w:pPr>
        <w:spacing w:after="80"/>
      </w:pP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rFonts w:ascii="Calibri" w:cs="Calibri" w:eastAsia="Calibri" w:hAnsi="Calibri"/>
      <w:b/>
      <w:bCs/>
      <w:color w:val="1F3552"/>
      <w:sz w:val="36"/>
      <w:szCs w:val="36"/>
    </w:rPr>
  </w:style>
  <w:style w:type="paragraph" w:styleId="Heading2">
    <w:name w:val="Heading 2"/>
    <w:basedOn w:val="Normal"/>
    <w:next w:val="Normal"/>
    <w:qFormat/>
    <w:rPr>
      <w:rFonts w:ascii="Calibri" w:cs="Calibri" w:eastAsia="Calibri" w:hAnsi="Calibri"/>
      <w:b/>
      <w:bCs/>
      <w:color w:val="1F3552"/>
      <w:sz w:val="28"/>
      <w:szCs w:val="28"/>
    </w:rPr>
  </w:style>
  <w:style w:type="paragraph" w:styleId="Heading3">
    <w:name w:val="Heading 3"/>
    <w:basedOn w:val="Normal"/>
    <w:next w:val="Normal"/>
    <w:qFormat/>
    <w:rPr>
      <w:rFonts w:ascii="Calibri" w:cs="Calibri" w:eastAsia="Calibri" w:hAnsi="Calibri"/>
      <w:b/>
      <w:bCs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Аналитический отчёт</dc:title>
  <dc:creator>GigaTool</dc:creator>
  <cp:lastModifiedBy>Un-named</cp:lastModifiedBy>
  <cp:revision>1</cp:revision>
  <dcterms:created xsi:type="dcterms:W3CDTF">2026-10-01T10:09:47.352Z</dcterms:created>
  <dcterms:modified xsi:type="dcterms:W3CDTF">2026-10-01T10:09:47.352Z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