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Сводный отчёт: возможности финансирования сопровождения старшеклассников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Сводный обзор источников финансирования ресурса сопровождения старшеклассников по позициям: школа, вуз, суз, индустриальный партнёр, муниципалитет. Охват: Россия. Дата: 27.09.2026.</w:t>
      </w:r>
    </w:p>
    <w:p>
      <w:pPr>
        <w:pStyle w:val="Heading2"/>
        <w:spacing w:after="100" w:before="200"/>
      </w:pPr>
      <w:r>
        <w:t xml:space="preserve">Задача и рамка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Подготовить сводный отчёт о возможностях получения финансирования на организацию сопровождения старшеклассников, рассматривая позицию каждой организации (школа, вуз, суз, индустриальный партнёр, муниципалитет). Рамка: суммы и механизмы проверены по официальным источникам; только Россия.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Каждая организация финансирует по своим законам и показателям.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Сводная картина: гранты, государственные программы, внебюджетные доходы, целевое обучение, партнёрства.</w:t>
      </w:r>
    </w:p>
    <w:p>
      <w:pPr>
        <w:pStyle w:val="Heading2"/>
        <w:spacing w:after="100" w:before="200"/>
      </w:pPr>
      <w:r>
        <w:t xml:space="preserve">Резюме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Финансирование сопровождения старшеклассников распределяется по пяти позициям с разными механизмами: школа - внебюджет и гранты (платные услуги по ст. 101 273-ФЗ, Росмолодёжь, ФПГ через АНО); вуз - платные подготовительные курсы и стратегические гранты «Приоритет-2030»/ПИШ; суз - федеральные гранты «Профессионалитета» (~100 млн руб.) и рост через КЦП; индустриальный партнёр - целевое обучение (ПП N 555), инженерные классы, софинансирование с налоговыми преференциями; муниципалитет - собственные доходы, нацпроекты и персонифицированное финансирование. Все позиции имеют реальные финансовые каналы.</w:t>
      </w:r>
    </w:p>
    <w:p>
      <w:pPr>
        <w:pStyle w:val="Heading2"/>
        <w:spacing w:after="100" w:before="200"/>
      </w:pPr>
      <w:r>
        <w:t xml:space="preserve">Сводная таблица источников финансирования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Позиция</w:t>
            </w:r>
          </w:p>
        </w:tc>
        <w:tc>
          <w:tcPr>
            <w:tcW w:type="pct" w:w="27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Основные источники</w:t>
            </w:r>
          </w:p>
        </w:tc>
        <w:tc>
          <w:tcPr>
            <w:tcW w:type="pct" w:w="29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Механизм и суммы</w:t>
            </w:r>
          </w:p>
        </w:tc>
        <w:tc>
          <w:tcPr>
            <w:tcW w:type="pct" w:w="28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Правовая база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Школа</w:t>
            </w:r>
          </w:p>
        </w:tc>
        <w:tc>
          <w:tcPr>
            <w:tcW w:type="pct" w:w="2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Платные услуги, гранты, спонсорство</w:t>
            </w:r>
          </w:p>
        </w:tc>
        <w:tc>
          <w:tcPr>
            <w:tcW w:type="pct" w:w="2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1,5-5 тыс. руб./мес за курс; гранты до 1 млн руб.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ст. 75, 99, 101 273-ФЗ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Вуз</w:t>
            </w:r>
          </w:p>
        </w:tc>
        <w:tc>
          <w:tcPr>
            <w:tcW w:type="pct" w:w="2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Платные курсы, «Приоритет-2030», ПИШ</w:t>
            </w:r>
          </w:p>
        </w:tc>
        <w:tc>
          <w:tcPr>
            <w:tcW w:type="pct" w:w="2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Грант &gt;26,8 млрд руб. на 106 вузов (2026)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ст. 101 273-ФЗ, ПП о грантах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СУЗ</w:t>
            </w:r>
          </w:p>
        </w:tc>
        <w:tc>
          <w:tcPr>
            <w:tcW w:type="pct" w:w="2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«Профессионалитет», госзадание по КЦП</w:t>
            </w:r>
          </w:p>
        </w:tc>
        <w:tc>
          <w:tcPr>
            <w:tcW w:type="pct" w:w="2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Грант ~100 млн руб. + софинансирование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ПП РФ N 4 от 14.01.2022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Индустриальный партнёр</w:t>
            </w:r>
          </w:p>
        </w:tc>
        <w:tc>
          <w:tcPr>
            <w:tcW w:type="pct" w:w="2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Целевое обучение, инженерные классы, софинансирование</w:t>
            </w:r>
          </w:p>
        </w:tc>
        <w:tc>
          <w:tcPr>
            <w:tcW w:type="pct" w:w="2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ПИШ: 51 млрд руб. от бизнеса (2025)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ПП N 555, ст. 264 НК РФ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Муниципалитет</w:t>
            </w:r>
          </w:p>
        </w:tc>
        <w:tc>
          <w:tcPr>
            <w:tcW w:type="pct" w:w="2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Собственные доходы, нацпроекты, ПФДО</w:t>
            </w:r>
          </w:p>
        </w:tc>
        <w:tc>
          <w:tcPr>
            <w:tcW w:type="pct" w:w="2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Нацпроект «Молодёжь и дети» ~547 млрд руб.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131-ФЗ, статты нацпроектов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Школа: источники финансирования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Платные образовательные услуги (ст. 75, 101 273-ФЗ): курсы ОГЭ/ЕГЭ, профориентация, тьюторство. Требуются лицензия на допобразование, Положение о платных услугах, прейскурант, договор.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Гранты: Росмолодёжь.Гранты (до 1 млн руб., авторы 14-35 лет), Фонд президентских грантов (только через НКО/АНО при школе), региональные конкурсы.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Спонсорство, пожертвования (ст. 101.1 273-ФЗ): целевые взносы, договоры пожертвования.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Проекты «Школа Минпросвещения России» и профминимум дают статус и методики, но не отдельные федеральные средства (они идут через «Билет в будущее»).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Подушевой норматив (ст. 99) финансирует только то, что входит во ФГОС и госзадание; платные курсы из него не финансируются.</w:t>
      </w:r>
    </w:p>
    <w:p>
      <w:pPr>
        <w:pStyle w:val="Heading2"/>
        <w:spacing w:after="100" w:before="200"/>
      </w:pPr>
      <w:r>
        <w:t xml:space="preserve">Вуз: источники финансирования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Довузовская подготовка не входит в госзадание; главный источник - платные подготовительные курсы (ст. 101 273-ФЗ, деятельность, не предусмотренная госзаданием).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«Приоритет-2030»: грант более 26,8 млрд руб. на 106 вузов в 2026; работу со школьниками вписать в стратегический проект.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«Передовые инженерные школы» (ПИШ): 50 школ, более 103 тыс. школьников охвачено; профориентация - прямое направление.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Целевое обучение (ПП N 555), гранты РНФ (популяризация как компонент научных проектов), эндаументы (ФЗ N 275).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Партнёрства школа-вуз по ст. 15 273-ФЗ (сетевая форма): ранний контакт с абитуриентами.</w:t>
      </w:r>
    </w:p>
    <w:p>
      <w:pPr>
        <w:pStyle w:val="Heading2"/>
        <w:spacing w:after="100" w:before="200"/>
      </w:pPr>
      <w:r>
        <w:t xml:space="preserve">СУЗ: источники финансирования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«Профессионалитет» (ПП РФ N 4 от 14.01.2022): грант ~100 млн руб. (базовый) через конкурс, обязательное софинансирование региона и работодателя. Пример: Вологодская обл. - 100 + 44 + 26 млн руб.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Госзадание и КЦП: больше абитуриентов после 9 класса на бюджет - больше субсидий госзадания.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Профориентация: «Билет в будущее», Единый день открытых дверей «Профессионалитета» бесплатно приводят школьников.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Платные услуги: курсы подготовки, ранняя профподготовка школьников (внебюджет).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Демонстрационный экзамен и оснащённые лаборатории (ЦПДЭ) повторно используются для профориентации.</w:t>
      </w:r>
    </w:p>
    <w:p>
      <w:pPr>
        <w:pStyle w:val="Heading2"/>
        <w:spacing w:after="100" w:before="200"/>
      </w:pPr>
      <w:r>
        <w:t xml:space="preserve">Индустриальный партнёр: источники финансирования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Целевое обучение (ПП N 555 от 27.04.2024): договор через платформу «Работа в России», обязательства отработать 3-5 лет.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Инженерные и предпрофессиональные классы (модель «Школа Росатома»): трёхстороннее соглашение, Положение, Дорожная карта.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Софинансирование «Профессионалитета»: налоговые преференции при вложении в материально-техническую базу, 85% трудоустройство.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«Передовые инженерные школы»: бизнес привлёк 51 млрд руб. (2025), коэффициент 2,8 руб. внебюджета на 1 бюджетный рубль.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Налоговый нюанс: обучение своих работников (ст. 264 НК) уменьшает прибыль; благотворительность (п. 16 ст. 270 НК) - нет. Финансирование строить через договоры и партнёрства.</w:t>
      </w:r>
    </w:p>
    <w:p>
      <w:pPr>
        <w:pStyle w:val="Heading2"/>
        <w:spacing w:after="100" w:before="200"/>
      </w:pPr>
      <w:r>
        <w:t xml:space="preserve">Муниципалитет: источники финансирования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Субвенции субъекта целевые, на переданные госполномочия по стандарту; профориентация сверх стандарта финансируется из собственных доходов и дотаций.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Муниципальная программа «Развитие образования» - основной инструмент финансирования сопровождения.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Нацпроект «Молодёжь и дети» (2025-2030): бюджет ~547 млрд руб. (2026); «Точки роста» (24 337 центров), «Билет в будущее».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Персонифицированное финансирование допобразования (ПФДО) и социальный заказ: сертификаты платят за тьюторство и профпробы как услугу.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Росмолодёжь.Гранты: до 2-2,5 млн руб. на проект (физлица и НКО).</w:t>
      </w:r>
    </w:p>
    <w:p>
      <w:pPr>
        <w:pStyle w:val="Heading2"/>
        <w:spacing w:after="100" w:before="200"/>
      </w:pPr>
      <w:r>
        <w:t xml:space="preserve">Сравнение объёма и доступности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pct" w:w="28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Доступность для организации</w:t>
            </w:r>
          </w:p>
        </w:tc>
        <w:tc>
          <w:tcPr>
            <w:tcW w:type="pct" w:w="23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Объём</w:t>
            </w:r>
          </w:p>
        </w:tc>
        <w:tc>
          <w:tcPr>
            <w:tcW w:type="pct" w:w="24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Сложность получения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Платные услуги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Все (нужна лицензия/положение)</w:t>
            </w:r>
          </w:p>
        </w:tc>
        <w:tc>
          <w:tcPr>
            <w:tcW w:type="pct" w:w="2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Умеренный, стабильный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Средняя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Грант «Профессионалитета»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Только СУЗ в консорциуме</w:t>
            </w:r>
          </w:p>
        </w:tc>
        <w:tc>
          <w:tcPr>
            <w:tcW w:type="pct" w:w="2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Крупный (~100 млн руб.)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Высокая (конкурс)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«Приоритет-2030»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Только вузы</w:t>
            </w:r>
          </w:p>
        </w:tc>
        <w:tc>
          <w:tcPr>
            <w:tcW w:type="pct" w:w="2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Крупный (млрд руб.)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Высокая (конкурс)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Целевое обучение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Работодатели</w:t>
            </w:r>
          </w:p>
        </w:tc>
        <w:tc>
          <w:tcPr>
            <w:tcW w:type="pct" w:w="2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Зависит от квот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Средняя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Нацпроектные средства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Муниципалитет, школы</w:t>
            </w:r>
          </w:p>
        </w:tc>
        <w:tc>
          <w:tcPr>
            <w:tcW w:type="pct" w:w="2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Крупный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Средне-низкая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Гранты Росмолодёжи/ФПГ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Школы (через АНО), НКО</w:t>
            </w:r>
          </w:p>
        </w:tc>
        <w:tc>
          <w:tcPr>
            <w:tcW w:type="pct" w:w="2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До 1-2,5 млн руб.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Средняя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Как выбрать источник под конкретную организацию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Определить целевую позицию (школа, вуз, суз, индустриал, муниципалитет) и её главный показатель (ЕГЭ, набор, КЦП, кадровый дефицит, ГИА района).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Выбрать основной источник: внебюджетный (платные услуги) для самоокупаемости либо грант/программу для масштабирования.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Оформить юридически: лицензия, положение, договор, конкурсная заявка - строго по правовой базе организации.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Провести бизнес-кейс: измеримая выгода для показателя + срок окупаемости + KPI.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Диверсифицировать: грант на разработку + платные услуги на содержание + партнёрство на инфраструктуру.</w:t>
      </w:r>
    </w:p>
    <w:p>
      <w:pPr>
        <w:pStyle w:val="Heading2"/>
        <w:spacing w:after="100" w:before="200"/>
      </w:pPr>
      <w:r>
        <w:t xml:space="preserve">Достоверность и ограничения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Подтверждено (официальные источники): нормы 273-ФЗ (ст. 75, 99, 101), ПП N 4 и N 555, 131-ФЗ и 33-ФЗ, НК РФ (ст. 264, 270), нацпроекты, «Приоритет-2030», ПИШ, «Профессионалитет».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Подтверждено (первичные/надёжные): грант «Профессионалитета» ~100 млн руб. (несколько кейсов), ПИШ (51 млрд руб. софинансирования), «Точки роста» (24 337 центров).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Ограничения: суммы подушевого норматива и софинансирования кластеров варьируются по регионам; показатели нацпроектов могут различаться по методике учёта.</w:t>
      </w:r>
    </w:p>
    <w:p>
      <w:pPr>
        <w:pStyle w:val="Heading2"/>
        <w:spacing w:after="100" w:before="200"/>
      </w:pPr>
      <w:r>
        <w:t xml:space="preserve">Источники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Школа: 273-ФЗ (ст. 75, 99, 101, 101.1), письмо Минпросвещения N АБ-2324/05, «Школа Минпросвещения России», Росмолодёжь.Гранты, пример МАОУ СОШ N 7.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Вуз: ст. 101 273-ФЗ, «Приоритет-2030» (priority2030.ru), ПИШ (engineers2030.ru), ПП N 555, ФЗ N 275, РНФ.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СУЗ: ПП РФ N 4 от 14.01.2022, ФИРПО (firpo.ru, de.firpo.ru), «Билет в будущее».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Индустриальный партнёр: ПП N 555, «Школа Росатома», «Профессионалитет», ПИШ (TAdviser), ст. 264/270 НК РФ.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Муниципалитет: 131-ФЗ и 33-ФЗ, нацпроекты (edu.gov.ru, нацпроекты.рф), «Точки роста», ПФДО/соцзаказ.</w:t>
      </w:r>
    </w:p>
    <w:p>
      <w:pPr>
        <w:pStyle w:val="Heading2"/>
        <w:spacing w:after="100" w:before="200"/>
      </w:pPr>
      <w:r>
        <w:t xml:space="preserve">Рекомендуемые следующие шаги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 конкретную организацию выбрать 2-3 наиболее подходящих источника и проверить актуальные суммы в региональных актах.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Оформить юридическую базу (лицензия, положение, договор) до подачи заявки.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Подать конкурсную заявку на крупный грант по профилю организации.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Запустить платные услуги как самоокупаемое ядро, грант/нацпроект - на масштабирование.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Составить единую таблицу KPI и ожидаемой окупаемости для бизнес-кейса.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Возможности финансирования сопровождения старшеклассников</dc:title>
  <dc:creator>GigaTool</dc:creator>
  <cp:lastModifiedBy>Un-named</cp:lastModifiedBy>
  <cp:revision>1</cp:revision>
  <dcterms:created xsi:type="dcterms:W3CDTF">2026-09-27T07:05:56.696Z</dcterms:created>
  <dcterms:modified xsi:type="dcterms:W3CDTF">2026-09-27T07:05:56.696Z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