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Система сопровождения и развития старшеклассников на базе КНИТУ-КАИ (СУНЦ и подразделения)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Проектный отчёт по созданию системы сопровождения старшеклассников на базе Казанского национального исследовательского технического университета им. А.Н. Туполева. Дата: 27.09.2026.</w:t>
      </w:r>
    </w:p>
    <w:p>
      <w:pPr>
        <w:pStyle w:val="Heading2"/>
        <w:spacing w:after="100" w:before="200"/>
      </w:pPr>
      <w:r>
        <w:t xml:space="preserve">Вопрос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Как создать систему сопровождения и развития старшеклассников на базе КНИТУ-КАИ с существующим СУНЦ (Инженерный лицей-интернат) и другими подразделениями — как надстроить рекомендованную архитектуру (тьюторское ядро + онлайн-курсы + профориентация + кружки + платформа) над реальными структурами вуза.</w:t>
      </w:r>
    </w:p>
    <w:p>
      <w:pPr>
        <w:pStyle w:val="Heading2"/>
        <w:spacing w:after="100" w:before="200"/>
      </w:pPr>
      <w:r>
        <w:t xml:space="preserve">Резюме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КНИТУ-КАИ — крупный авиационный технический вуз (около 14 тысяч студентов, участник «Приоритета-2030» с грантом до 100 млн руб.) — уже располагает всеми физическими якорями архитектуры: СУНЦ «Инженерный лицей-интернат» (бесплатное обучение, проектная зона 800 кв. м, интернат, открыт СИБУР-класс), Центр довузовского образования «Интеллект», ПИШ «Комплексная Авиационная Инженерия», промышленные партнёры (КАЗ им. Горбунова, КВЗ, ОДК, СИБУР), психологическая служба (7 психологов) и система наставников студентов. Но отсутствуют ключевые элементы новизны: системная тьюторская служба студентов для школьников, возрастной матчинг (8 против 10-11 класса) и онлайн-платформа ОГЭ/ЕГЭ.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Предлагается корпоративный «Центр сопровождения старшеклассников» при СУНЦ, где ядро — обученные студенты-тьюторы КАИ, а финансирование — связка внебюджет, целевой приём (ПП N 555) и гранты Приоритет-2030.</w:t>
      </w:r>
    </w:p>
    <w:p>
      <w:pPr>
        <w:pStyle w:val="Heading2"/>
        <w:spacing w:after="100" w:before="200"/>
      </w:pPr>
      <w:r>
        <w:t xml:space="preserve">Ключевые находки</w:t>
      </w:r>
    </w:p>
    <w:p>
      <w:pPr>
        <w:pStyle w:val="Heading3"/>
        <w:spacing w:after="100" w:before="200"/>
      </w:pPr>
      <w:r>
        <w:t xml:space="preserve">1. Структура КНИТУ-КАИ и довузовский блок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Крупный технический вуз: около 14 000 студентов, 5 институтов + физмат, 45 кафедр, 2 колледжа, 4 филиала, 43 лаборатории, более 100 программ.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Довузовский блок: Центр довузовского образования «Интеллект» (курсы ЕГЭ/ОГЭ, IT-школа, олимпиада) и СУНЦ «Инженерный лицей-интернат».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Участник «Приоритета-2030»: программа 2025-2036, грант до 100 млн руб., проекты «Инженерный интеллект 2036», «АвиаТех-2036», «Цифровой горизонт».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ПИШ «Комплексная Авиационная Инженерия» — обязательная метрика профориентации школьников.</w:t>
      </w:r>
    </w:p>
    <w:p>
      <w:pPr>
        <w:pStyle w:val="Heading3"/>
        <w:spacing w:after="100" w:before="200"/>
      </w:pPr>
      <w:r>
        <w:t xml:space="preserve">2. СУНЦ «Инженерный лицей-интернат»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Официальное название при КАИ: СУНЦ Инженерный лицей-интернат (структурное подразделение вуза, с 01.09.2015). «Школа инженерного резерва» — неофициальное обозначение.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Набор в 5-е, 6-9-е, 10-е классы: контрольные работы, собеседование/защита проекта; для 10 класса — ОГЭ по 4 предметам и контрольные. Обучение бесплатное, есть интернат.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Профильные 10-11 технологические классы; спецкурсы по инженерии; проектная зона 800 кв. м; STEM-центр; курсы «Инженер выходного дня», «Углублённая математика».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 17.09.2026 открыт СИБУР-класс — пример корпоративного партнёрства.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Поступление в КАИ: около 22-30% выпускников (расчёт по спискам «Выпускники»); остальные идут в КФУ, ИТМО, МФТИ, Иннополис и др.</w:t>
      </w:r>
    </w:p>
    <w:p>
      <w:pPr>
        <w:pStyle w:val="Heading3"/>
        <w:spacing w:after="100" w:before="200"/>
      </w:pPr>
      <w:r>
        <w:t xml:space="preserve">3. Олимпиадная подготовка, кружки и инженерные классы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КАИ — площадка перечневых олимпиад: «Звезда», «Росатом», Инженерная олимпиада «Шаг в будущее», САММАТ, ТИИМ, «Будущее Сибири», олимпиада им. Окулова (физика).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Своего ДНК у КАИ нет; аналог — образовательный комплекс «Технополис-КАИ» (СУНЦ + центр авиации Ту-144 + «Технариум-КАИ»), ведущий занятия в инженерных классах школ РТ.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Летняя инженерная школа: робототехника, авиамоделизм, 3D-моделирование, Интернет вещей.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ПИШ КАИ имеет раздел «Школам»: авиаклассы, профпробы, конкурсы, инженерные смены.</w:t>
      </w:r>
    </w:p>
    <w:p>
      <w:pPr>
        <w:pStyle w:val="Heading3"/>
        <w:spacing w:after="100" w:before="200"/>
      </w:pPr>
      <w:r>
        <w:t xml:space="preserve">4. Профориентация и партнёрства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Партнёры: КАЗ им. Горбунова, КВЗ, ОДК, СИБУР. Целевой набор — «Крылья Ростеха» (51 место в 2026), «Грант Новые кадры ОПК».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Механизмы: договоры целевого обучения (ПП N 555), повышенные стипендии (до 30 000 руб.).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Роль КАИ конкретно в «Билете в будущее» в открытых источниках не подтверждена.</w:t>
      </w:r>
    </w:p>
    <w:p>
      <w:pPr>
        <w:pStyle w:val="Heading3"/>
        <w:spacing w:after="100" w:before="200"/>
      </w:pPr>
      <w:r>
        <w:t xml:space="preserve">5. Кадровый потенциал для тьюторства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Студенты КАИ (около 14 000, инженерные и IT) — резерв тьюторов по матем, физике, информатике, робототехнике.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Уже есть система наставников/кураторов студентов: 246 наставников, 69 кураторов.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Психологическая служба: 7 штатных психологов.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Студенческое научное общество — 15 кружков (СНК): «IT-приборист», «Киберфизика», «Фрактал», «ИКАР» и др.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Детский университет КАИ: курсы БПЛА, олимпиадная математика (7-9), технологическое предпринимательство.</w:t>
      </w:r>
    </w:p>
    <w:p>
      <w:pPr>
        <w:pStyle w:val="Heading3"/>
        <w:spacing w:after="100" w:before="200"/>
      </w:pPr>
      <w:r>
        <w:t xml:space="preserve">6. Технологические и финансовые ресурсы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Инфраструктура: IT-кафедры, проект «Цифровой горизонт», медиаспециализации ЦДО «Интеллект».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Внебюджет: платные подготовительные курсы, «Инженер выходного дня».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Гранты: «Приоритет-2030» (до 100 млн руб.), региональные гранты РТ.</w:t>
      </w:r>
    </w:p>
    <w:p>
      <w:pPr>
        <w:pStyle w:val="Heading3"/>
        <w:spacing w:after="100" w:before="200"/>
      </w:pPr>
      <w:r>
        <w:t xml:space="preserve">7. Аналоги: как технические вузы РФ строят сопровождение школьников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МФТИ: Физтех-лицей, «Классы Физтех XXI» (кружки в 91 школе, 5500+ учащихся), «Физтех-регионам» (онлайн, 11 405 участников).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МИФИ: предуниверситарий (лицеи, ТОП-5 RAEX), «Сетевая школа» онлайн, олимпиады «Росатом».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ИТМО: кружок олимпиадного программирования, ИТМО СТАРТ.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УрФУ: «Тест-драйв» — дешёвая профориентационная акция.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СУНЦ НГУ: ФМШ-интернат + заочная школа + онлайн-курсы.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Инженерные классы авиапрофиля (УУНиТ + ОДК-УМПО): траектория школа-вуз-предприятие, KPI от 25% выпускников.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Переносимость на КАИ: высокая для инженерных классов авиапрофиля, «Классов Физтех», онлайн-платформы, «Тест-драйва».</w:t>
      </w:r>
    </w:p>
    <w:p>
      <w:pPr>
        <w:pStyle w:val="Heading3"/>
        <w:spacing w:after="100" w:before="200"/>
      </w:pPr>
      <w:r>
        <w:t xml:space="preserve">8. Синтез: архитектура системы на базе КАИ</w:t>
      </w:r>
    </w:p>
    <w:p>
      <w:pPr>
        <w:pStyle w:val="Heading3"/>
        <w:spacing w:after="100" w:before="200"/>
      </w:pPr>
      <w:r>
        <w:t xml:space="preserve">Карта наложения (что где живёт)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Тьюторское ядро - студенты КАИ (2-4 курсы, магистры ПИШ), координатор в Проектном центре, базируется в СУНЦ.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Онлайн-курсы ОГЭ/ЕГЭ - раздел «Довузовское образование» + СУНЦ, оболочка - IT-кафедры / «Цифровой горизонт».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Профориентация встроена - партнёрства (СИБУР-класс уже открыт, авиазаводы), метрика ПИШ.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Кружки - лаборатории СУНЦ, «Инженер выходного дня», СНО и студенческие КБ.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Цифровая платформа - кабинет «трек школьника» с матчингом и трекингом.</w:t>
      </w:r>
    </w:p>
    <w:p>
      <w:pPr>
        <w:pStyle w:val="Heading3"/>
        <w:spacing w:after="100" w:before="200"/>
      </w:pPr>
      <w:r>
        <w:t xml:space="preserve">Этапность (0-3)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Этап</w:t>
            </w:r>
          </w:p>
        </w:tc>
        <w:tc>
          <w:tcPr>
            <w:tcW w:type="pct" w:w="1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Срок</w:t>
            </w:r>
          </w:p>
        </w:tc>
        <w:tc>
          <w:tcPr>
            <w:tcW w:type="pct" w:w="4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Содержание</w:t>
            </w:r>
          </w:p>
        </w:tc>
        <w:tc>
          <w:tcPr>
            <w:tcW w:type="pct" w:w="31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Бюджет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Этап 0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0-6 мес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Аудит, школа тьюторов на 20 студентов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1,5-3 млн руб.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Этап 1 MVP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6-18 мес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30-50 тьюторов, пилот 100-150 учеников, онлайн-курсы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6-10 млн руб.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Этап 2 масштаб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1,5-3 года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Полные воронки, платформа, ПИШ, целевой приём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15-25 млн руб.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Этап 3 устойчивость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3+ года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Ежегодный цикл, эндаумент-фонд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внебюджет + гранты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Воронки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Тьюторы (студенты): отбор по мотивации + диагностика + обучение (32-72 ч) + супервизия; отсев 3-5%; 1 тьютор ведёт 3-5 учеников.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Ученики (8-11 Татарстан): добровольность, профдиагностика, возрастной матчинг: 8 класс - старший тьютор, 10-11 - молодой студент-взрослый друг.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Прогноз: 1200 заявок, 800 диагностика, 450 тандемов, 300-350 до поступления.</w:t>
      </w:r>
    </w:p>
    <w:p>
      <w:pPr>
        <w:pStyle w:val="Heading3"/>
        <w:spacing w:after="100" w:before="200"/>
      </w:pPr>
      <w:r>
        <w:t xml:space="preserve">Финмодель и метрики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Внебюджет около 40-50%; гранты около 30%; целевой приём (ПП N 555) и партнёры 20-30%.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Метрики: конверсия воронки, сравнение баллов ОГЭ/ЕГЭ с контрольной группой, retention тьюторов, снижение тревожности, число школьников в рамках ПИШ, целевые договоры.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Риски: выгорание тьюторов, перегрузка IT, слабая мотивация учеников, зависимость от гранта, уход партнёров, конкуренция СУНЦ и довузовского блока - с митигациями.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Новое для КАИ: тьюторская служба студентов, возрастной матчинг, онлайн-платформа ОГЭ/ЕГЭ, сквозная финмодель на конверсию в поступление.</w:t>
      </w:r>
    </w:p>
    <w:p>
      <w:pPr>
        <w:pStyle w:val="Heading2"/>
        <w:spacing w:after="100" w:before="200"/>
      </w:pPr>
      <w:r>
        <w:t xml:space="preserve">Достоверность и ограничения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Подтверждено (первичные официальные источники kai.ru, lyceum.kai.ru): структура, довузовский блок, СУНЦ, олимпиады, психологическая служба, СНО, Приоритет-2030.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Расчётное: процент поступления выпускников СУНЦ в КАИ (22-30%) - мои вычисления по первичным спискам.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Single-source: роль КАИ в «Билете в будущее», ИНТЦ, цифры конкурса (только агрегаторы).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Оценки этапности и бюджета - проектные, требуют уточнения внутри КАИ.</w:t>
      </w:r>
    </w:p>
    <w:p>
      <w:pPr>
        <w:pStyle w:val="Heading2"/>
        <w:spacing w:after="100" w:before="200"/>
      </w:pPr>
      <w:r>
        <w:t xml:space="preserve">Источники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Структура: kai.ru, abiturientu.kai.ru.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СУНЦ: lyceum.kai.ru, edu.tatar.ru.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Олимпиады и «Технополис-КАИ»: abiturientu.kai.ru/olimpiady1, Татар-информ.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Профориентация: «Крылья Ростеха», lfkai.ru, ПП N 555.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Кадры: СНО, психологическая служба, молодёжная политика, Детский университет.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Ресурсы: Приоритет-2030 КАИ, ПИШ.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Аналоги: МФТИ, МИФИ, ИТМО, УрФУ, СУНЦ НГУ, УУНиТ, Минпросвещения.</w:t>
      </w:r>
    </w:p>
    <w:p>
      <w:pPr>
        <w:pStyle w:val="Heading2"/>
        <w:spacing w:after="100" w:before="200"/>
      </w:pPr>
      <w:r>
        <w:t xml:space="preserve">Рекомендуемые следующие шаги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презентацию для руководства КАИ о включении «Центра сопровождения» в Приоритет-2030.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Провести аудит СУНЦ, ЦДО «Интеллект» и партнёрств (СИБУР, КАЗ, КВЗ, ОДК).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Запустить пилотную школу тьюторов на 20-30 студентов и пилот на 100-150 учеников.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Запросить внутренние данные КАИ для точной финмодели.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Согласовать показатели сопровождения школьников с Проектным центром КАИ.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Система сопровождения старшеклассников на базе КНИТУ-КАИ</dc:title>
  <dc:creator>GigaTool</dc:creator>
  <cp:lastModifiedBy>Un-named</cp:lastModifiedBy>
  <cp:revision>1</cp:revision>
  <dcterms:created xsi:type="dcterms:W3CDTF">2026-09-27T16:31:13.590Z</dcterms:created>
  <dcterms:modified xsi:type="dcterms:W3CDTF">2026-09-27T16:31:13.590Z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