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Финансирование сопровождения старшеклассников: источники с позиций организаций и аргументация для руководства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Аналитический отчёт по финансированию ресурса сопровождения старшеклассников с разных позиций (школа, вуз, суз, индустриальный партнёр, муниципалитет) и аргументации для руководства. Охват: Россия. Дата: 27.09.2026.</w:t>
      </w:r>
    </w:p>
    <w:p>
      <w:pPr>
        <w:pStyle w:val="Heading2"/>
        <w:spacing w:after="100" w:before="200"/>
      </w:pPr>
      <w:r>
        <w:t xml:space="preserve">Задача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Собрать информацию о возможностях получения финансирования для организации сопровождения старшеклассников с разных позиций и муниципалитетов (от школы, вуза, суза, индустриального партнёра), представить, что всем им необходимо разработать такой ресурс, и подобрать аргументацию для руководящего состава о необходимости разработки и выделения ресурсов на такое сопровождение.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Только РФ. Ключевая рамка: суммы и программы проверены по официальным источникам, аргументация строится на измеримых выгодах.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Отдельная аргументация на каждую организацию-заказчика под её собственные показатели.</w:t>
      </w:r>
    </w:p>
    <w:p>
      <w:pPr>
        <w:pStyle w:val="Heading2"/>
        <w:spacing w:after="100" w:before="200"/>
      </w:pPr>
      <w:r>
        <w:t xml:space="preserve">Резюме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Каждая организация может финансировать сопровождение старшеклассников через свой набор механизмов, поскольку у всех разные цели и бюджеты. Школа использует внебюджет (платные услуги, гранты) - бюджетная субвенция на профориентацию сверх ФГОС не идёт. Вуз финансирует через платные подготовительные курсы (ст. 101 273-ФЗ) и стратегические проекты «Приоритет-2030» и ПИШ. СУЗ получает федеральные гранты «Профессионалитета» (~100 млн руб.) и растёт через набор после 9 класса. Индустриальный партнёр финансирует через целевое обучение (ПП N 555), инженерные классы и софинансирование «Профессионалитета» с налоговыми преференциями. Муниципалитет использует собственные доходы, нацпроект «Молодёжь и дети» и персонифицированное финансирование. Главный перевёрнутый вывод: финансовые механизмы существуют у всех, ключ - правильно оформить ресурс под целевые показатели каждой организации.</w:t>
      </w:r>
    </w:p>
    <w:p>
      <w:pPr>
        <w:pStyle w:val="Heading2"/>
        <w:spacing w:after="100" w:before="200"/>
      </w:pPr>
      <w:r>
        <w:t xml:space="preserve">Обзор источников финансирования по организациям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Организация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Ключевые источники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Размер / механизм</w:t>
            </w:r>
          </w:p>
        </w:tc>
        <w:tc>
          <w:tcPr>
            <w:tcW w:type="pct" w:w="2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ставит в приоритет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Школа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Платные услуги (ст. 101 273-ФЗ), гранты (Росмолодёжь, ФПГ через НКО), спонсорство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1,5-5 тыс. руб./мес за курс; гранты до 1 млн руб.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ЕГЭ, рейтинг, внебюджет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Вуз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Платные подготовительные курсы (ст. 101), «Приоритет-2030», ПИШ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Курсы - внебюджет; грант более 26,8 млрд руб. на 106 вузов (2026)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Набор, качество первокурсников, отсев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СУЗ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«Профессионалитет» (грант), госзадание по КЦП, платные курсы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~100 млн руб. грант + софинансирование региона и работодателя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Выполнение КЦП, набор после 9 класса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Индустриальный партнёр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Целевое обучение (ПП N 555), инженерные классы, софинансирование, ст. 264 НК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ПИШ: бизнес привлёк 51 млрд руб. (2025); преференции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Кадровый резерв, снижение стоимости найма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Муниципалитет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Собственные доходы, нацпроект «Молодёжь и дети», ПФДО/соцзаказ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Нацпроект ~547 млрд руб. (2026); сертификаты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Равенство доступа, ГИА района, удержание молодёжи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Школа: механизмы финансирования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Бюджетная субвенция (ст. 99 273-ФЗ) идёт на то, что входит в ФГОС и госзадание; платные курсы и индивидуальное сопровождение из неё не финансируются.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Платные образовательные услуги (ст. 101, 75 273-ФЗ): курсы ОГЭ/ЕГЭ, профориентация, тьюторство - требуют лицензию на допобразование, Положение о платных услугах, прейскурант, договор. Типично 1,5-5 тыс. руб./мес за курс.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Гранты: Росмолодёжь.Гранты (до 1 млн руб., авторы 14-35 лет), ФПГ - только через НКО/АНО при школе, региональные конкурсы.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 «Школа Минпросвещения России» и профминимум дают статус и методики, но не отдельное целевое федеральное финансирование (оно идёт через «Билет в будущее»).</w:t>
      </w:r>
    </w:p>
    <w:p>
      <w:pPr>
        <w:pStyle w:val="Heading3"/>
        <w:spacing w:after="100" w:before="200"/>
      </w:pPr>
      <w:r>
        <w:t xml:space="preserve">Школа: аргументы для руководства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Прямая выгода: доход от платных курсов идёт на уставные цели (ст. 101) и окупает ресурс; 20-30 старшеклассников по 1,5-5 тыс. руб./мес дают 30-150 тыс. руб./мес.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Юридическая чистота защищает от претензий контролёров (ст. 99, 75, 101, лицензия, договоры).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Снижение отсева и рост результатов госаттестации повышают рейтинг школы.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Диверсификация источников (норматив + платные + гранты + спонсорство) снижает зависимость от бюджета.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Социальный аргумент для учредителя: уравнивает детей, чьи родители не могут платить репетиторам.</w:t>
      </w:r>
    </w:p>
    <w:p>
      <w:pPr>
        <w:pStyle w:val="Heading2"/>
        <w:spacing w:after="100" w:before="200"/>
      </w:pPr>
      <w:r>
        <w:t xml:space="preserve">Вуз: механизмы финансирования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Госзадание вуза не содержит статьи на довузовскую подготовку - главный источник это платные подготовительные курсы (ст. 101 273-ФЗ, «деятельность, не предусмотренная госзаданием»).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«Приоритет-2030»: грант более 26,8 млрд руб. на 106 вузов в 2026; работу со школьниками можно вписать в стратегический проект программы развития.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«Передовые инженерные школы»: 50 ПИШ, более 103 тыс. школьников уже охвачено - профориентационная работа прямое направление.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Целевое обучение (ПП N 555) от работодателей, гранты РНФ (популяризация как компонент научных проектов), эндаументы (ФЗ N 275).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Партнёрства школа-вуз по ст. 15 273-ФЗ (сетевая форма) дают ранний контакт с абитуриентами.</w:t>
      </w:r>
    </w:p>
    <w:p>
      <w:pPr>
        <w:pStyle w:val="Heading3"/>
        <w:spacing w:after="100" w:before="200"/>
      </w:pPr>
      <w:r>
        <w:t xml:space="preserve">Вуз: аргументы для руководства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Внебюджетная самоокупаемость: довузовская подготовка по ст. 101 не требует бюджетных статей и не зависит от госфинансирования.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Прямая связь с набором: раннее вовлечение школьника в олимпиады и курсы конвертируется в поток заявлений.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Качество первокурсников и снижение отсева улучшают показатели КЦП и аккредитации.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Программная господдержка: работа со школьниками встраивается в «Приоритет-2030» и ПИШ как слагаемое грантовой заявки.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Имидж и доверие региона: вуз становится точкой притяжения талантливых школьников.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Целевой набор и партнёрство с работодателями укрепляют канал «школа - вуз - предприятие».</w:t>
      </w:r>
    </w:p>
    <w:p>
      <w:pPr>
        <w:pStyle w:val="Heading2"/>
        <w:spacing w:after="100" w:before="200"/>
      </w:pPr>
      <w:r>
        <w:t xml:space="preserve">СУЗ: механизмы финансирования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«Профессионалитет» (ПП РФ N 4 от 14.01.2022): грант ~100 млн руб. (базовый) через конкурс; обязательное софинансирование региона и работодателя. Пример: Вологодская обл. - 100 + 44 + 26 млн руб.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Госзадание и КЦП: больше абитуриентов после 9 класса на бюджет - больше субсидии госзадания.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Профориентационные проекты: «Билет в будущее» и Единый день открытых дверей «Профессионалитета» бесплатно приводят школьников.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Платные образовательные услуги: курсы подготовки, ранняя профподготовка (внебюджетный доход).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Демонстрационный экзамен и оснащённые лаборатории (ЦПДЭ) - база, используемая и для школьных мероприятий.</w:t>
      </w:r>
    </w:p>
    <w:p>
      <w:pPr>
        <w:pStyle w:val="Heading3"/>
        <w:spacing w:after="100" w:before="200"/>
      </w:pPr>
      <w:r>
        <w:t xml:space="preserve">СУЗ: аргументы для руководства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Набор и выполнение КЦП: сопровождение старшеклассников увеличивает приём после 9 класса, а значит субсидии.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Доступ к «Профессионалитету»: профориентационный ресурс усиливает позицию в конкурсе на грант ~100 млн руб.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Кадровый дефицит рабочих профессий: колледж, готовящий школьников к рабочей профессии, закрывает запрос экономики региона.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Внебюджетный доход: платные курсы диверсифицируют бюджет.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Повторное использование инфраструктуры: лаборатории и ЦПДЭ уже оплачены государством и работодателями.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Синергия с «Билетом в будущее»: федеральные мероприятия дают бесплатный поток школьников.</w:t>
      </w:r>
    </w:p>
    <w:p>
      <w:pPr>
        <w:pStyle w:val="Heading2"/>
        <w:spacing w:after="100" w:before="200"/>
      </w:pPr>
      <w:r>
        <w:t xml:space="preserve">Индустриальный партнёр: механизмы финансирования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Целевое обучение (ПП N 555 от 27.04.2024): договор через платформу «Работа в России», обязательства отработать 3-5 лет.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Инженерные/предпрофессиональные классы (модель «Школа Росатома»): трёхстороннее соглашение, Положение, Дорожная карта.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Софинансирование «Профессионалитета»: налоговые преференции при вложении в материально-техническую базу, 85% трудоустройство.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«Передовые инженерные школы»: бизнес привлёк 51 млрд руб. (2025), коэффициент 2,8 руб. внебюджета на 1 бюджетный рубль.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Налоговый нюанс: обучение своих работников (ст. 264 НК) уменьшает прибыль, а благотворительность (п. 16 ст. 270 НК) - нет. Поэтому финансирование строить через договоры и партнёрства, а не спонсорство.</w:t>
      </w:r>
    </w:p>
    <w:p>
      <w:pPr>
        <w:pStyle w:val="Heading3"/>
        <w:spacing w:after="100" w:before="200"/>
      </w:pPr>
      <w:r>
        <w:t xml:space="preserve">Индустриальный партнёр: аргументы для руководства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Снижение стоимости найма: выращенный с 7-10 класса сотрудник не требует борьбы на открытом рынке.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Гарантированная отдача: целевое обучение юридически обязывает выпускника отработать 3-5 лет.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Финансирование конвертируется в налоговую экономию там, где построено правильно (ст. 264 НК, преференции «Профессионалитета», СПИК).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Закрытие кадрового дефицита и импортозамещение - прямое выполнение госприоритета, доступ к госпрограммам.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Контроль над будущим сотрудником: бизнес задаёт программу и сам преподаёт.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Имидж, ESG и социальный капитал: инженерные классы укрепляют HR-бренд и позицию в регионе.</w:t>
      </w:r>
    </w:p>
    <w:p>
      <w:pPr>
        <w:pStyle w:val="Heading2"/>
        <w:spacing w:after="100" w:before="200"/>
      </w:pPr>
      <w:r>
        <w:t xml:space="preserve">Муниципалитет: механизмы финансирования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Субвенции субъекта - целевые, на переданные госполномочия по стандарту; профориентация сверх стандарта из них не финансируется. Нужны собственные доходы и дотации.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Муниципальная программа «Развитие образования» - основной инструмент сопровождения через подпрограммы.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Нацпроект «Молодёжь и дети» (2025-2030): бюджет ~547 млрд руб. (2026); «Точки роста» (24 337 центров), «Билет в будущее».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Персонифицированное финансирование допобразования (ПФДО) и социальный заказ: сертификаты платят за тьюторство и профпробы как услугу.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Росмолодёжь.Гранты: до 2-2,5 млн руб. на проект (физлица/НКО).</w:t>
      </w:r>
    </w:p>
    <w:p>
      <w:pPr>
        <w:pStyle w:val="Heading3"/>
        <w:spacing w:after="100" w:before="200"/>
      </w:pPr>
      <w:r>
        <w:t xml:space="preserve">Муниципалитет: аргументы для руководства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Равенство доступа: общий ресурс выравнивает стартовые возможности школ села и малых городов.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Юридическая чистота: сопровождение - вопрос местного значения, финансируется законно через муниципальную программу и собственные доходы.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Экономия от общего ресурса: один общий центр/платформа на весь округ дешевле, чем дублирование в каждой школе.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Доступ к федеральным деньгам: нацпроект приносит средства на инфраструктуру без нагрузки на местный бюджет.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Имидж и удержание молодёжи: снижает отток старшеклассников в соседние центры.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Планировать переход на ФЗ N 33-ФЗ (с 2028); закреплять механизмы в действующих на стыке полномочий соглашениях.</w:t>
      </w:r>
    </w:p>
    <w:p>
      <w:pPr>
        <w:pStyle w:val="Heading2"/>
        <w:spacing w:after="100" w:before="200"/>
      </w:pPr>
      <w:r>
        <w:t xml:space="preserve">Сводная модель обоснования для руководства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Универсальная логика презентации руководству любой организации: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Проблема (измеримая): кадровый дефицит / отсев / низкие результаты - с цифрами по организации.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Решение: ресурс сопровождения старшеклассников как системный ответ.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Источник финансирования: конкретный для данной организации (ст. 101, грант, целевое обучение и т.д.).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Выгода для показателей организации: набор, ЕГЭ, удержание, себестоимость найма.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Возврат вложений: сроки окупаемости, измеримые KPI.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Малые риски: юридическая чистота, повторное использование инфраструктуры.</w:t>
      </w:r>
    </w:p>
    <w:p>
      <w:pPr>
        <w:pStyle w:val="Heading2"/>
        <w:spacing w:after="100" w:before="200"/>
      </w:pPr>
      <w:r>
        <w:t xml:space="preserve">Достоверность и ограничения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Подтверждено (официальные источники): нормы 273-ФЗ (ст. 54, 75, 99, 101), ПП N 4 и N 555, 131-ФЗ и 33-ФЗ, НК РФ (ст. 264, 270), нацпроекты «Образование»/«Молодёжь и дети», «Приоритет-2030», ПИШ, «Профессионалитет».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Подтверждено (первичные/надёжные источники): грант «Профессионалитета» ~100 млн руб. (несколько кейсов), цифры ПИШ (51 млрд руб. софинансирования), охват «Точек роста» (24 337).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Ограничения: часть сумм подушевого норматива и софинансирования кластеров варьируется по регионам и требует сверки с региональными актами; суммарные показатели «билета в будущее» и софинансирования ПИШ могут различаться в зависимости от методики учёта.</w:t>
      </w:r>
    </w:p>
    <w:p>
      <w:pPr>
        <w:pStyle w:val="Heading2"/>
        <w:spacing w:after="100" w:before="200"/>
      </w:pPr>
      <w:r>
        <w:t xml:space="preserve">Источники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Школа: 273-ФЗ (ст. 75, 99, 101, 101.1), ПП об оказании платных услуг, письмо Минпросвещения N АБ-2324/05 (профминимум), проект «Школа Минпросвещения России», Росмолодёжь.Гранты, пример МАОУ СОШ N 7 (Боровичи).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Вуз: ст. 101 273-ФЗ, «Приоритет-2030» (priority2030.ru), ПИШ (engineers2030.ru, Социоцентр), РНФ, ПП N 555, ФЗ N 275 (эндаументы), Сеченовский университет и др. (примеры довузовской подготовки).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СУЗ: ПП РФ N 4 от 14.01.2022, ФИРПО (firpo.ru, de.firpo.ru), «Билет в будущее», примеры кластеров (Вологодская обл., медколледжи, КАМАЗ).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Индустриальный партнёр: ПП N 555, «Школа Росатома» (rosatomtalents.team), СОШ N 12 Усолье-Сибирское, «Газпром-классы», «Профессионалитет» (раздел для работодателей), ПИШ (TAdviser), ст. 264/270 НК РФ.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Муниципалитет: 131-ФЗ и 33-ФЗ, нацпроекты (edu.gov.ru, нацпроекты.рф, ТАСС), «Точки роста» (АИРО), ПФДО/соцзаказ (методички), пример Рамонского района.</w:t>
      </w:r>
    </w:p>
    <w:p>
      <w:pPr>
        <w:pStyle w:val="Heading2"/>
        <w:spacing w:after="100" w:before="200"/>
      </w:pPr>
      <w:r>
        <w:t xml:space="preserve">Рекомендуемые следующие шаги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презентацию под конкретную организацию: взять её показатели (ЕГЭ, набор, отсев, кадровый дефицит), выбрать соответствующий источник финансирования и аргументацию из этого отчёта.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школы/суза/муниципалитета - проверить актуальный региональный норматив и локальные грантовые конкурсы.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вуза - изучить конкурсную документацию «Приоритет-2030» и включить работу со школьниками в стратегический проект.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индустриального партнёра - построить модель окупаемости целевого обучения/инженерных классов.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Составить сводную таблицу KPI и ожидаемой окупаемости для внутреннего бизнес-кейса.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Финансирование сопровождения старшеклассников и аргументация для руководства</dc:title>
  <dc:creator>GigaTool</dc:creator>
  <cp:lastModifiedBy>Un-named</cp:lastModifiedBy>
  <cp:revision>1</cp:revision>
  <dcterms:created xsi:type="dcterms:W3CDTF">2026-09-27T06:44:43.553Z</dcterms:created>
  <dcterms:modified xsi:type="dcterms:W3CDTF">2026-09-27T06:44:43.553Z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