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ИОТ-ТЛ-06</w:t>
      </w:r>
    </w:p>
    <w:p>
      <w:pPr>
        <w:pStyle w:val="Heading2"/>
      </w:pPr>
      <w:r>
        <w:t xml:space="preserve">при работе с VR-оборудованием (Pico 4 Ultra)</w:t>
      </w:r>
    </w:p>
    <w:p>
      <w:pPr>
        <w:spacing w:after="120"/>
      </w:pPr>
      <w:r>
        <w:rPr>
          <w:b/>
          <w:bCs/>
        </w:rPr>
        <w:t xml:space="preserve">Утверждена:</w:t>
      </w:r>
      <w:r>
        <w:t xml:space="preserve"> «_</w:t>
      </w:r>
      <w:r>
        <w:rPr>
          <w:b/>
          <w:bCs/>
        </w:rPr>
        <w:t xml:space="preserve">» __________ 20</w:t>
      </w:r>
      <w:r>
        <w:t xml:space="preserve"> г.</w:t>
      </w:r>
    </w:p>
    <w:p>
      <w:pPr>
        <w:spacing w:after="120"/>
      </w:pPr>
      <w:r>
        <w:rPr>
          <w:b/>
          <w:bCs/>
        </w:rPr>
        <w:t xml:space="preserve">Срок действия:</w:t>
      </w:r>
      <w:r>
        <w:t xml:space="preserve"> до «_</w:t>
      </w:r>
      <w:r>
        <w:rPr>
          <w:b/>
          <w:bCs/>
        </w:rPr>
        <w:t xml:space="preserve">» __________ 20</w:t>
      </w:r>
      <w:r>
        <w:t xml:space="preserve"> г.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устанавливает требования охраны труда при эксплуатации VR-оборудования Pico 4 Ultra.</w:t>
      </w:r>
    </w:p>
    <w:p>
      <w:pPr>
        <w:spacing w:after="120"/>
      </w:pPr>
      <w:r>
        <w:t xml:space="preserve">1.2. К работе с VR-оборудованием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достигшие возраста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медицинский осмотр (в т.ч. психиатрическое освидетельствование) и не имеющие противопоказаний (эпилепсия, вестибулярные нарушения, сердечно-сосудистые заболевания в стадии обострения);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прошедшие обучение и стажировку на рабочем месте;</w:t>
      </w:r>
    </w:p>
    <w:p>
      <w:pPr>
        <w:pStyle w:val="ListParagraph"/>
        <w:numPr>
          <w:ilvl w:val="0"/>
          <w:numId w:val="1"/>
        </w:numPr>
      </w:pPr>
      <w:r>
        <w:t xml:space="preserve">ознакомившиеся с руководством пользователя Pico 4 Ultra.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</w:pPr>
      <w:r>
        <w:t xml:space="preserve">зрительное утомление и перенапряжение глаз;</w:t>
      </w:r>
    </w:p>
    <w:p>
      <w:pPr>
        <w:pStyle w:val="ListParagraph"/>
        <w:numPr>
          <w:ilvl w:val="0"/>
          <w:numId w:val="1"/>
        </w:numPr>
      </w:pPr>
      <w:r>
        <w:t xml:space="preserve">воздействие электромагнитного излучения;</w:t>
      </w:r>
    </w:p>
    <w:p>
      <w:pPr>
        <w:pStyle w:val="ListParagraph"/>
        <w:numPr>
          <w:ilvl w:val="0"/>
          <w:numId w:val="1"/>
        </w:numPr>
      </w:pPr>
      <w:r>
        <w:t xml:space="preserve">потеря ориентации в пространстве (укачивание, головокружение);</w:t>
      </w:r>
    </w:p>
    <w:p>
      <w:pPr>
        <w:pStyle w:val="ListParagraph"/>
        <w:numPr>
          <w:ilvl w:val="0"/>
          <w:numId w:val="1"/>
        </w:numPr>
      </w:pPr>
      <w:r>
        <w:t xml:space="preserve">риск столкновения с окружающими предметами и людьми;</w:t>
      </w:r>
    </w:p>
    <w:p>
      <w:pPr>
        <w:pStyle w:val="ListParagraph"/>
        <w:numPr>
          <w:ilvl w:val="0"/>
          <w:numId w:val="1"/>
        </w:numPr>
      </w:pPr>
      <w:r>
        <w:t xml:space="preserve">поражение электрическим током при повреждении кабелей зарядного устройства;</w:t>
      </w:r>
    </w:p>
    <w:p>
      <w:pPr>
        <w:pStyle w:val="ListParagraph"/>
        <w:numPr>
          <w:ilvl w:val="0"/>
          <w:numId w:val="1"/>
        </w:numPr>
      </w:pPr>
      <w:r>
        <w:t xml:space="preserve">риск падения из-за потери равновесия;</w:t>
      </w:r>
    </w:p>
    <w:p>
      <w:pPr>
        <w:pStyle w:val="ListParagraph"/>
        <w:numPr>
          <w:ilvl w:val="0"/>
          <w:numId w:val="1"/>
        </w:numPr>
      </w:pPr>
      <w:r>
        <w:t xml:space="preserve">психоэмоциональное перенапряжение.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применять VR-оборудование строго по назначению;</w:t>
      </w:r>
    </w:p>
    <w:p>
      <w:pPr>
        <w:pStyle w:val="ListParagraph"/>
        <w:numPr>
          <w:ilvl w:val="0"/>
          <w:numId w:val="1"/>
        </w:numPr>
      </w:pPr>
      <w:r>
        <w:t xml:space="preserve">немедленно сообщать руководителю о любой неисправности оборудования;</w:t>
      </w:r>
    </w:p>
    <w:p>
      <w:pPr>
        <w:pStyle w:val="ListParagraph"/>
        <w:numPr>
          <w:ilvl w:val="0"/>
          <w:numId w:val="1"/>
        </w:numPr>
      </w:pPr>
      <w:r>
        <w:t xml:space="preserve">знать местонахождение аптечки и средств пожаротушения.</w:t>
      </w:r>
    </w:p>
    <w:p>
      <w:pPr>
        <w:spacing w:after="120"/>
      </w:pPr>
      <w:r>
        <w:t xml:space="preserve">1.5.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VR-оборудование в состоянии алкогольного, наркотического или токсического опьянения;</w:t>
      </w:r>
    </w:p>
    <w:p>
      <w:pPr>
        <w:pStyle w:val="ListParagraph"/>
        <w:numPr>
          <w:ilvl w:val="0"/>
          <w:numId w:val="1"/>
        </w:numPr>
      </w:pPr>
      <w:r>
        <w:t xml:space="preserve">допускать к работе посторонних лиц без инструктажа;</w:t>
      </w:r>
    </w:p>
    <w:p>
      <w:pPr>
        <w:pStyle w:val="ListParagraph"/>
        <w:numPr>
          <w:ilvl w:val="0"/>
          <w:numId w:val="1"/>
        </w:numPr>
      </w:pPr>
      <w:r>
        <w:t xml:space="preserve">вносить изменения в программное обеспечение и конфигурацию оборудования;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неисправное оборудование.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Осмотреть рабочую зону: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площадь свободного пространства составляет не менее </w:t>
      </w:r>
      <w:r>
        <w:rPr>
          <w:b/>
          <w:bCs/>
        </w:rPr>
        <w:t xml:space="preserve">2 × 2 м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Удалить острые, хрупкие, бьющиеся предметы и мебель с острыми углами.</w:t>
      </w:r>
    </w:p>
    <w:p>
      <w:pPr>
        <w:pStyle w:val="ListParagraph"/>
        <w:numPr>
          <w:ilvl w:val="0"/>
          <w:numId w:val="1"/>
        </w:numPr>
      </w:pPr>
      <w:r>
        <w:t xml:space="preserve">Проверить отсутствие посторонних людей и животных в рабочей зоне.</w:t>
      </w:r>
    </w:p>
    <w:p>
      <w:pPr>
        <w:spacing w:after="120"/>
      </w:pPr>
      <w:r>
        <w:t xml:space="preserve">2.2. Проверить исправность VR-гарнитуры Pico 4 Ultra:</w:t>
      </w:r>
    </w:p>
    <w:p>
      <w:pPr>
        <w:pStyle w:val="ListParagraph"/>
        <w:numPr>
          <w:ilvl w:val="0"/>
          <w:numId w:val="1"/>
        </w:numPr>
      </w:pPr>
      <w:r>
        <w:t xml:space="preserve">Осмотреть линзы на наличие царапин, трещин и загрязнений.</w:t>
      </w:r>
    </w:p>
    <w:p>
      <w:pPr>
        <w:pStyle w:val="ListParagraph"/>
        <w:numPr>
          <w:ilvl w:val="0"/>
          <w:numId w:val="1"/>
        </w:numPr>
      </w:pPr>
      <w:r>
        <w:t xml:space="preserve">Проверить целостность корпуса, ремешков и креплений.</w:t>
      </w:r>
    </w:p>
    <w:p>
      <w:pPr>
        <w:pStyle w:val="ListParagraph"/>
        <w:numPr>
          <w:ilvl w:val="0"/>
          <w:numId w:val="1"/>
        </w:numPr>
      </w:pPr>
      <w:r>
        <w:t xml:space="preserve">Убедиться в отсутствии видимых повреждений кабелей (при проводном подключении).</w:t>
      </w:r>
    </w:p>
    <w:p>
      <w:pPr>
        <w:pStyle w:val="ListParagraph"/>
        <w:numPr>
          <w:ilvl w:val="0"/>
          <w:numId w:val="1"/>
        </w:numPr>
      </w:pPr>
      <w:r>
        <w:t xml:space="preserve">Протереть линзы и лицевую маску специальной салфеткой из микрофибры (не использовать спирт и абразивные средства).</w:t>
      </w:r>
    </w:p>
    <w:p>
      <w:pPr>
        <w:spacing w:after="120"/>
      </w:pPr>
      <w:r>
        <w:t xml:space="preserve">2.3. Проверить состояние контроллеров:</w:t>
      </w:r>
    </w:p>
    <w:p>
      <w:pPr>
        <w:pStyle w:val="ListParagraph"/>
        <w:numPr>
          <w:ilvl w:val="0"/>
          <w:numId w:val="1"/>
        </w:numPr>
      </w:pPr>
      <w:r>
        <w:t xml:space="preserve">Убедиться в наличии батарей / уровне заряда.</w:t>
      </w:r>
    </w:p>
    <w:p>
      <w:pPr>
        <w:pStyle w:val="ListParagraph"/>
        <w:numPr>
          <w:ilvl w:val="0"/>
          <w:numId w:val="1"/>
        </w:numPr>
      </w:pPr>
      <w:r>
        <w:t xml:space="preserve">Проверить фиксацию ремешков на запястье.</w:t>
      </w:r>
    </w:p>
    <w:p>
      <w:pPr>
        <w:pStyle w:val="ListParagraph"/>
        <w:numPr>
          <w:ilvl w:val="0"/>
          <w:numId w:val="1"/>
        </w:numPr>
      </w:pPr>
      <w:r>
        <w:t xml:space="preserve">Проверить работу трекинга (отображение в интерфейсе гарнитуры).</w:t>
      </w:r>
    </w:p>
    <w:p>
      <w:pPr>
        <w:spacing w:after="120"/>
      </w:pPr>
      <w:r>
        <w:t xml:space="preserve">2.4. Проверить заряд аккумулятора гарнитуры (рекомендуемый заряд — не менее 50 %).</w:t>
      </w:r>
    </w:p>
    <w:p>
      <w:pPr>
        <w:spacing w:after="120"/>
      </w:pPr>
      <w:r>
        <w:t xml:space="preserve">2.5. Убедиться в исправности розетки и зарядного устройства (если используется режим с питанием от сети).</w:t>
      </w:r>
    </w:p>
    <w:p>
      <w:pPr>
        <w:spacing w:after="120"/>
      </w:pPr>
      <w:r>
        <w:t xml:space="preserve">2.6. При использовании в помещении — включить достаточное освещение, чтобы границы игровой зоны были различимы (для корректной работы системы Passthrough и построения границ Space Sense).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3. Требования охраны труда во время работы</w:t>
      </w:r>
    </w:p>
    <w:p>
      <w:pPr>
        <w:spacing w:after="120"/>
      </w:pPr>
      <w:r>
        <w:t xml:space="preserve">3.1. Перед началом сеанса настроить гарнитуру:</w:t>
      </w:r>
    </w:p>
    <w:p>
      <w:pPr>
        <w:pStyle w:val="ListParagraph"/>
        <w:numPr>
          <w:ilvl w:val="0"/>
          <w:numId w:val="1"/>
        </w:numPr>
      </w:pPr>
      <w:r>
        <w:t xml:space="preserve">Выполнить калибровку пространства (настройка границ — Space Sense / Boundary Setup).</w:t>
      </w:r>
    </w:p>
    <w:p>
      <w:pPr>
        <w:pStyle w:val="ListParagraph"/>
        <w:numPr>
          <w:ilvl w:val="0"/>
          <w:numId w:val="1"/>
        </w:numPr>
      </w:pPr>
      <w:r>
        <w:t xml:space="preserve">Настроить межзрачковое расстояние (IPD) с помощью колёсика регулировки линз.</w:t>
      </w:r>
    </w:p>
    <w:p>
      <w:pPr>
        <w:pStyle w:val="ListParagraph"/>
        <w:numPr>
          <w:ilvl w:val="0"/>
          <w:numId w:val="1"/>
        </w:numPr>
      </w:pPr>
      <w:r>
        <w:t xml:space="preserve">Отрегулировать ремешок для плотной, но комфортной фиксации гарнитуры на голове.</w:t>
      </w:r>
    </w:p>
    <w:p>
      <w:pPr>
        <w:spacing w:after="120"/>
      </w:pPr>
      <w:r>
        <w:t xml:space="preserve">3.2. Контроллеры должны быть зафиксированы на запястьях ремешками во избежание вылетания при активных движениях.</w:t>
      </w:r>
    </w:p>
    <w:p>
      <w:pPr>
        <w:spacing w:after="120"/>
      </w:pPr>
      <w:r>
        <w:t xml:space="preserve">3.3. Во время сеанса VR:</w:t>
      </w:r>
    </w:p>
    <w:p>
      <w:pPr>
        <w:pStyle w:val="ListParagraph"/>
        <w:numPr>
          <w:ilvl w:val="0"/>
          <w:numId w:val="1"/>
        </w:numPr>
      </w:pPr>
      <w:r>
        <w:t xml:space="preserve">Сохранять спокойное положение тела, избегать резких движений без контроля границ зоны.</w:t>
      </w:r>
    </w:p>
    <w:p>
      <w:pPr>
        <w:pStyle w:val="ListParagraph"/>
        <w:numPr>
          <w:ilvl w:val="0"/>
          <w:numId w:val="1"/>
        </w:numPr>
      </w:pPr>
      <w:r>
        <w:t xml:space="preserve">Держать ноги на ширине плеч для устойчивости.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поворот корпуса, а не только шеи, для снижения нагрузки на шейный отдел.</w:t>
      </w:r>
    </w:p>
    <w:p>
      <w:pPr>
        <w:pStyle w:val="ListParagraph"/>
        <w:numPr>
          <w:ilvl w:val="0"/>
          <w:numId w:val="1"/>
        </w:numPr>
      </w:pPr>
      <w:r>
        <w:t xml:space="preserve">При появлении симптомов укачивания, головокружения, тошноты или дезориентации — </w:t>
      </w:r>
      <w:r>
        <w:rPr>
          <w:b/>
          <w:bCs/>
        </w:rPr>
        <w:t xml:space="preserve">немедленно прекратить работу</w:t>
      </w:r>
      <w:r>
        <w:t xml:space="preserve">, снять гарнитуру и сообщить руководителю.</w:t>
      </w:r>
    </w:p>
    <w:p>
      <w:pPr>
        <w:spacing w:after="120"/>
      </w:pPr>
      <w:r>
        <w:t xml:space="preserve">3.4. Продолжительность непрерывного сеанса — </w:t>
      </w:r>
      <w:r>
        <w:rPr>
          <w:b/>
          <w:bCs/>
        </w:rPr>
        <w:t xml:space="preserve">не более 30 минут</w:t>
      </w:r>
      <w:r>
        <w:t xml:space="preserve">. Перерыв между сеансами — </w:t>
      </w:r>
      <w:r>
        <w:rPr>
          <w:b/>
          <w:bCs/>
        </w:rPr>
        <w:t xml:space="preserve">не менее 10–15 минут</w:t>
      </w:r>
      <w:r>
        <w:t xml:space="preserve">.</w:t>
      </w:r>
    </w:p>
    <w:p>
      <w:pPr>
        <w:spacing w:after="120"/>
      </w:pPr>
      <w:r>
        <w:t xml:space="preserve">3.5. Рекомендуемая суммарная длительность работы с VR-оборудованием в течение дня — </w:t>
      </w:r>
      <w:r>
        <w:rPr>
          <w:b/>
          <w:bCs/>
        </w:rPr>
        <w:t xml:space="preserve">не более 2 часов</w:t>
      </w:r>
      <w:r>
        <w:t xml:space="preserve">.</w:t>
      </w:r>
    </w:p>
    <w:p>
      <w:pPr>
        <w:spacing w:after="120"/>
      </w:pPr>
      <w:r>
        <w:t xml:space="preserve">3.6. </w:t>
      </w:r>
      <w:r>
        <w:rPr>
          <w:b/>
          <w:bCs/>
        </w:rPr>
        <w:t xml:space="preserve">Запрещается во время работы:</w:t>
      </w:r>
    </w:p>
    <w:p>
      <w:pPr>
        <w:pStyle w:val="ListParagraph"/>
        <w:numPr>
          <w:ilvl w:val="0"/>
          <w:numId w:val="1"/>
        </w:numPr>
      </w:pPr>
      <w:r>
        <w:t xml:space="preserve">снимать ремешки контроллеров с запястий;</w:t>
      </w:r>
    </w:p>
    <w:p>
      <w:pPr>
        <w:pStyle w:val="ListParagraph"/>
        <w:numPr>
          <w:ilvl w:val="0"/>
          <w:numId w:val="1"/>
        </w:numPr>
      </w:pPr>
      <w:r>
        <w:t xml:space="preserve">подносить гарнитуру или контроллеры к лицу / глазам во включённом состоянии (риск травмы линзами и излучателями);</w:t>
      </w:r>
    </w:p>
    <w:p>
      <w:pPr>
        <w:pStyle w:val="ListParagraph"/>
        <w:numPr>
          <w:ilvl w:val="0"/>
          <w:numId w:val="1"/>
        </w:numPr>
      </w:pPr>
      <w:r>
        <w:t xml:space="preserve">самостоятельно разбирать корпус гарнитуры или контроллеров;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гарнитуру при температуре окружающей среды выше +35 °C или ниже 0 °C;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гарнитуру на улице без защиты от прямых солнечных лучей (попадание солнца на линзы может повредить экран).</w:t>
      </w:r>
    </w:p>
    <w:p>
      <w:pPr>
        <w:spacing w:after="120"/>
      </w:pPr>
      <w:r>
        <w:t xml:space="preserve">3.7. При обнаружении нагрева гарнитуры выше допустимого (корпус ощутимо горячий) — немедленно прекратить работу и дать оборудованию остыть.</w:t>
      </w:r>
    </w:p>
    <w:p>
      <w:pPr>
        <w:spacing w:after="120"/>
      </w:pPr>
      <w:r>
        <w:t xml:space="preserve">3.8. Следить за чистотой линз — при запотевании или загрязнении протереть салфеткой из микрофибры.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4. Требования охраны труда в аварийных ситуациях</w:t>
      </w:r>
    </w:p>
    <w:p>
      <w:pPr>
        <w:spacing w:after="120"/>
      </w:pPr>
      <w:r>
        <w:t xml:space="preserve">4.1. При возникновении аварийной ситуации (пожар, задымление, короткое замыкание):</w:t>
      </w:r>
    </w:p>
    <w:p>
      <w:pPr>
        <w:pStyle w:val="ListParagraph"/>
        <w:numPr>
          <w:ilvl w:val="0"/>
          <w:numId w:val="1"/>
        </w:numPr>
      </w:pPr>
      <w:r>
        <w:t xml:space="preserve">Немедленно прекратить работу.</w:t>
      </w:r>
    </w:p>
    <w:p>
      <w:pPr>
        <w:pStyle w:val="ListParagraph"/>
        <w:numPr>
          <w:ilvl w:val="0"/>
          <w:numId w:val="1"/>
        </w:numPr>
      </w:pPr>
      <w:r>
        <w:t xml:space="preserve">Отключить оборудование от электропитания.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 работ.</w:t>
      </w:r>
    </w:p>
    <w:p>
      <w:pPr>
        <w:pStyle w:val="ListParagraph"/>
        <w:numPr>
          <w:ilvl w:val="0"/>
          <w:numId w:val="1"/>
        </w:numPr>
      </w:pPr>
      <w:r>
        <w:t xml:space="preserve">При пожаре — применить углекислотный (CO₂) или порошковый огнетушитель (не использовать воду для тушения электрооборудования).</w:t>
      </w:r>
    </w:p>
    <w:p>
      <w:pPr>
        <w:pStyle w:val="ListParagraph"/>
        <w:numPr>
          <w:ilvl w:val="0"/>
          <w:numId w:val="1"/>
        </w:numPr>
      </w:pPr>
      <w:r>
        <w:t xml:space="preserve">При необходимости — вызвать пожарную службу по телефону </w:t>
      </w:r>
      <w:r>
        <w:rPr>
          <w:b/>
          <w:bCs/>
        </w:rPr>
        <w:t xml:space="preserve">101</w:t>
      </w:r>
      <w:r>
        <w:t xml:space="preserve"> или </w:t>
      </w:r>
      <w:r>
        <w:rPr>
          <w:b/>
          <w:bCs/>
        </w:rPr>
        <w:t xml:space="preserve">112</w:t>
      </w:r>
      <w:r>
        <w:t xml:space="preserve">.</w:t>
      </w:r>
    </w:p>
    <w:p>
      <w:pPr>
        <w:spacing w:after="120"/>
      </w:pPr>
      <w:r>
        <w:t xml:space="preserve">4.2. При поражении электрическим током:</w:t>
      </w:r>
    </w:p>
    <w:p>
      <w:pPr>
        <w:pStyle w:val="ListParagraph"/>
        <w:numPr>
          <w:ilvl w:val="0"/>
          <w:numId w:val="1"/>
        </w:numPr>
      </w:pPr>
      <w:r>
        <w:t xml:space="preserve">Освободить пострадавшего от действия тока (отключить питание; если невозможно — отбросить провод сухим деревянным предметом).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медицинскую помощь по телефону </w:t>
      </w:r>
      <w:r>
        <w:rPr>
          <w:b/>
          <w:bCs/>
        </w:rPr>
        <w:t xml:space="preserve">103</w:t>
      </w:r>
      <w:r>
        <w:t xml:space="preserve"> или </w:t>
      </w:r>
      <w:r>
        <w:rPr>
          <w:b/>
          <w:bCs/>
        </w:rPr>
        <w:t xml:space="preserve">112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При отсутствии дыхания и пульса — начать сердечно-лёгочную реанимацию.</w:t>
      </w:r>
    </w:p>
    <w:p>
      <w:pPr>
        <w:pStyle w:val="ListParagraph"/>
        <w:numPr>
          <w:ilvl w:val="0"/>
          <w:numId w:val="1"/>
        </w:numPr>
      </w:pPr>
      <w:r>
        <w:t xml:space="preserve">Не прикасаться к пострадавшему мокрыми руками и не использовать металлические предметы.</w:t>
      </w:r>
    </w:p>
    <w:p>
      <w:pPr>
        <w:spacing w:after="120"/>
      </w:pPr>
      <w:r>
        <w:t xml:space="preserve">4.3. При падении или травмировании работника в результате потери ориентации в VR:</w:t>
      </w:r>
    </w:p>
    <w:p>
      <w:pPr>
        <w:pStyle w:val="ListParagraph"/>
        <w:numPr>
          <w:ilvl w:val="0"/>
          <w:numId w:val="1"/>
        </w:numPr>
      </w:pPr>
      <w:r>
        <w:t xml:space="preserve">Оказать первую помощь (при необходимости).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медицинскую помощь при тяжёлых травмах.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 о происшествии.</w:t>
      </w:r>
    </w:p>
    <w:p>
      <w:pPr>
        <w:spacing w:after="120"/>
      </w:pPr>
      <w:r>
        <w:t xml:space="preserve">4.4. При появлении признаков эпилептического припадка (судороги, потеря сознания, закатывание глаз):</w:t>
      </w:r>
    </w:p>
    <w:p>
      <w:pPr>
        <w:pStyle w:val="ListParagraph"/>
        <w:numPr>
          <w:ilvl w:val="0"/>
          <w:numId w:val="1"/>
        </w:numPr>
      </w:pPr>
      <w:r>
        <w:t xml:space="preserve">Немедленно снять с пострадавшего гарнитуру.</w:t>
      </w:r>
    </w:p>
    <w:p>
      <w:pPr>
        <w:pStyle w:val="ListParagraph"/>
        <w:numPr>
          <w:ilvl w:val="0"/>
          <w:numId w:val="1"/>
        </w:numPr>
      </w:pPr>
      <w:r>
        <w:t xml:space="preserve">Уложить на бок, обеспечить свободное дыхание.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медицинскую помощь.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Запрещается</w:t>
      </w:r>
      <w:r>
        <w:t xml:space="preserve"> вставлять предметы в рот пострадавшего.</w:t>
      </w:r>
    </w:p>
    <w:p>
      <w:pPr>
        <w:spacing w:after="120"/>
      </w:pPr>
      <w:r>
        <w:t xml:space="preserve">4.5. Работник, ставший очевидцем аварийной ситуации, обязан немедленно сообщить об этом непосредственному руководителю.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5. Требования охраны труда по окончании работы</w:t>
      </w:r>
    </w:p>
    <w:p>
      <w:pPr>
        <w:spacing w:after="120"/>
      </w:pPr>
      <w:r>
        <w:t xml:space="preserve">5.1. Завершить текущее приложение в гарнитуре.</w:t>
      </w:r>
    </w:p>
    <w:p>
      <w:pPr>
        <w:spacing w:after="120"/>
      </w:pPr>
      <w:r>
        <w:t xml:space="preserve">5.2. Выключить VR-гарнитуру Pico 4 Ultra через меню (удержание кнопки включения → «Выключить»).</w:t>
      </w:r>
    </w:p>
    <w:p>
      <w:pPr>
        <w:spacing w:after="120"/>
      </w:pPr>
      <w:r>
        <w:t xml:space="preserve">5.3. Снять гарнитуру и контроллеры. Протереть линзы и лицевую маску салфеткой из микрофибры.</w:t>
      </w:r>
    </w:p>
    <w:p>
      <w:pPr>
        <w:spacing w:after="120"/>
      </w:pPr>
      <w:r>
        <w:t xml:space="preserve">5.4. Поместить гарнитуру и контроллеры в защитный кейс / на зарядную станцию.</w:t>
      </w:r>
    </w:p>
    <w:p>
      <w:pPr>
        <w:spacing w:after="120"/>
      </w:pPr>
      <w:r>
        <w:t xml:space="preserve">5.5. При необходимости — подключить гарнитуру к зарядному устройству для восполнения заряда.</w:t>
      </w:r>
    </w:p>
    <w:p>
      <w:pPr>
        <w:spacing w:after="120"/>
      </w:pPr>
      <w:r>
        <w:t xml:space="preserve">5.6. Убрать рабочую зону: вернуть мебель и предметы в исходное положение.</w:t>
      </w:r>
    </w:p>
    <w:p>
      <w:pPr>
        <w:spacing w:after="120"/>
      </w:pPr>
      <w:r>
        <w:t xml:space="preserve">5.7. Обо всех неисправностях и замечаниях, возникших в процессе работы, сообщить руководителю.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6. Заключительные положения</w:t>
      </w:r>
    </w:p>
    <w:p>
      <w:pPr>
        <w:spacing w:after="120"/>
      </w:pPr>
      <w:r>
        <w:t xml:space="preserve">6.1. Работник несёт дисциплинарную и материальную ответственность за нарушение требований настоящей инструкции в соответствии с действующим законодательством РФ.</w:t>
      </w:r>
    </w:p>
    <w:p>
      <w:pPr>
        <w:spacing w:after="120"/>
      </w:pPr>
      <w:r>
        <w:t xml:space="preserve">6.2. Пересмотр инструкции производится не реже одного раза в 3 года, а также при изменении нормативных требований или замене оборудования.</w:t>
      </w:r>
    </w:p>
    <w:p>
      <w:pPr>
        <w:pBdr>
          <w:bottom w:val="single" w:color="CCCCCC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Разработал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ФИО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Согласовано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Утверждаю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2026-06-26T08:04:15.721Z</dcterms:created>
  <dcterms:modified xsi:type="dcterms:W3CDTF">2026-06-26T08:04:15.721Z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