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60" w:line="276"/>
        <w:jc w:val="center"/>
      </w:pP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КГАОУ «Краевая школа-интернат по работе с одарёнными детьми «Школа космонавтики»»</w:t>
      </w:r>
    </w:p>
    <w:p>
      <w:pPr>
        <w:pBdr>
          <w:bottom w:val="single" w:color="2E75B6" w:sz="6" w:space="1"/>
        </w:pBdr>
        <w:spacing w:after="100" w:before="100"/>
      </w:pPr>
      <w:r>
        <w:rPr>
          <w:rFonts w:ascii="Arial" w:cs="Arial" w:eastAsia="Arial" w:hAnsi="Arial"/>
          <w:sz w:val="8"/>
          <w:szCs w:val="8"/>
        </w:rPr>
        <w:t xml:space="preserve"> </w:t>
      </w:r>
    </w:p>
    <w:p>
      <w:r>
        <w:rPr>
          <w:rFonts w:ascii="Arial" w:cs="Arial" w:eastAsia="Arial" w:hAnsi="Arial"/>
          <w:sz w:val="12"/>
          <w:szCs w:val="12"/>
        </w:rPr>
        <w:t xml:space="preserve"> </w:t>
      </w:r>
    </w:p>
    <w:p>
      <w:r>
        <w:rPr>
          <w:rFonts w:ascii="Arial" w:cs="Arial" w:eastAsia="Arial" w:hAnsi="Arial"/>
          <w:sz w:val="12"/>
          <w:szCs w:val="12"/>
        </w:rPr>
        <w:t xml:space="preserve"> </w:t>
      </w:r>
    </w:p>
    <w:p>
      <w:pPr>
        <w:spacing w:after="120" w:before="120"/>
        <w:jc w:val="center"/>
      </w:pPr>
      <w:r>
        <w:rPr>
          <w:rFonts w:ascii="Arial" w:cs="Arial" w:eastAsia="Arial" w:hAnsi="Arial"/>
          <w:b/>
          <w:bCs/>
          <w:color w:val="1F3864"/>
          <w:sz w:val="36"/>
          <w:szCs w:val="36"/>
        </w:rPr>
        <w:t xml:space="preserve">ШТАТНОЕ РАСПИСАНИЕ и ДОЛЖНОСТНЫЕ ИНСТРУКЦИИ</w:t>
      </w:r>
    </w:p>
    <w:p>
      <w:pPr>
        <w:spacing w:after="80" w:before="80"/>
        <w:jc w:val="center"/>
      </w:pPr>
      <w:r>
        <w:rPr>
          <w:rFonts w:ascii="Arial" w:cs="Arial" w:eastAsia="Arial" w:hAnsi="Arial"/>
          <w:color w:val="2E75B6"/>
          <w:sz w:val="26"/>
          <w:szCs w:val="26"/>
        </w:rPr>
        <w:t xml:space="preserve">Структурное подразделение «Технологическая лаборатория»</w:t>
      </w:r>
    </w:p>
    <w:p>
      <w:r>
        <w:rPr>
          <w:rFonts w:ascii="Arial" w:cs="Arial" w:eastAsia="Arial" w:hAnsi="Arial"/>
          <w:sz w:val="12"/>
          <w:szCs w:val="12"/>
        </w:rPr>
        <w:t xml:space="preserve"> </w:t>
      </w:r>
    </w:p>
    <w:p>
      <w:r>
        <w:rPr>
          <w:rFonts w:ascii="Arial" w:cs="Arial" w:eastAsia="Arial" w:hAnsi="Arial"/>
          <w:sz w:val="12"/>
          <w:szCs w:val="12"/>
        </w:rPr>
        <w:t xml:space="preserve"> </w:t>
      </w:r>
    </w:p>
    <w:p>
      <w:r>
        <w:rPr>
          <w:rFonts w:ascii="Arial" w:cs="Arial" w:eastAsia="Arial" w:hAnsi="Arial"/>
          <w:sz w:val="12"/>
          <w:szCs w:val="12"/>
        </w:rPr>
        <w:t xml:space="preserve"> </w:t>
      </w:r>
    </w:p>
    <w:p>
      <w:r>
        <w:rPr>
          <w:rFonts w:ascii="Arial" w:cs="Arial" w:eastAsia="Arial" w:hAnsi="Arial"/>
          <w:sz w:val="12"/>
          <w:szCs w:val="12"/>
        </w:rPr>
        <w:t xml:space="preserve"> </w:t>
      </w:r>
    </w:p>
    <w:p>
      <w:pPr>
        <w:spacing w:after="60" w:before="60" w:line="276"/>
        <w:jc w:val="center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2026–2027 учебный год</w:t>
      </w:r>
    </w:p>
    <w:p>
      <w:pPr>
        <w:spacing w:after="60" w:before="60" w:line="276"/>
        <w:jc w:val="center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г. Железногорск, 2026 г.</w:t>
      </w:r>
    </w:p>
    <w:p>
      <w:pPr>
        <w:spacing w:after="0" w:before="0"/>
      </w:pPr>
      <w:r>
        <w:br w:type="page"/>
      </w:r>
    </w:p>
    <w:p>
      <w:pPr>
        <w:spacing w:after="160" w:before="280"/>
        <w:jc w:val="center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ШТАТНОЕ РАСПИСАНИЕ</w:t>
      </w:r>
    </w:p>
    <w:tbl>
      <w:tblPr>
        <w:tblW w:type="dxa" w:w="8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"/>
        <w:gridCol w:w="3600"/>
        <w:gridCol w:w="700"/>
        <w:gridCol w:w="1100"/>
        <w:gridCol w:w="1300"/>
        <w:gridCol w:w="1350"/>
      </w:tblGrid>
      <w:tr>
        <w:trPr>
          <w:tblHeader/>
        </w:trPr>
        <w:tc>
          <w:tcPr>
            <w:tcW w:type="dxa" w:w="45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№</w:t>
            </w:r>
          </w:p>
        </w:tc>
        <w:tc>
          <w:tcPr>
            <w:tcW w:type="dxa" w:w="3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Должность</w:t>
            </w:r>
          </w:p>
        </w:tc>
        <w:tc>
          <w:tcPr>
            <w:tcW w:type="dxa" w:w="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Ставок</w:t>
            </w:r>
          </w:p>
        </w:tc>
        <w:tc>
          <w:tcPr>
            <w:tcW w:type="dxa" w:w="1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Оклад руб.</w:t>
            </w:r>
          </w:p>
        </w:tc>
        <w:tc>
          <w:tcPr>
            <w:tcW w:type="dxa" w:w="13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Итого/мес. руб.</w:t>
            </w:r>
          </w:p>
        </w:tc>
        <w:tc>
          <w:tcPr>
            <w:tcW w:type="dxa" w:w="135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Финансирование</w:t>
            </w:r>
          </w:p>
        </w:tc>
      </w:tr>
      <w:tr>
        <w:tc>
          <w:tcPr>
            <w:tcW w:type="dxa" w:w="45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</w:t>
            </w:r>
          </w:p>
        </w:tc>
        <w:tc>
          <w:tcPr>
            <w:tcW w:type="dxa" w:w="3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Заведующий структурным подразделением / Руководитель Лаборатории</w:t>
            </w:r>
          </w:p>
        </w:tc>
        <w:tc>
          <w:tcPr>
            <w:tcW w:type="dxa" w:w="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1.0</w:t>
            </w:r>
          </w:p>
        </w:tc>
        <w:tc>
          <w:tcPr>
            <w:tcW w:type="dxa" w:w="1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42 000</w:t>
            </w:r>
          </w:p>
        </w:tc>
        <w:tc>
          <w:tcPr>
            <w:tcW w:type="dxa" w:w="13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42 000</w:t>
            </w:r>
          </w:p>
        </w:tc>
        <w:tc>
          <w:tcPr>
            <w:tcW w:type="dxa" w:w="135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ГЗ + грант</w:t>
            </w:r>
          </w:p>
        </w:tc>
      </w:tr>
      <w:tr>
        <w:tc>
          <w:tcPr>
            <w:tcW w:type="dxa" w:w="45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</w:t>
            </w:r>
          </w:p>
        </w:tc>
        <w:tc>
          <w:tcPr>
            <w:tcW w:type="dxa" w:w="3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Педагог ДО — Казакевич К.М. (уже трудоустроен)</w:t>
            </w:r>
          </w:p>
        </w:tc>
        <w:tc>
          <w:tcPr>
            <w:tcW w:type="dxa" w:w="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1.5</w:t>
            </w:r>
          </w:p>
        </w:tc>
        <w:tc>
          <w:tcPr>
            <w:tcW w:type="dxa" w:w="1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38 000</w:t>
            </w:r>
          </w:p>
        </w:tc>
        <w:tc>
          <w:tcPr>
            <w:tcW w:type="dxa" w:w="13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57 000</w:t>
            </w:r>
          </w:p>
        </w:tc>
        <w:tc>
          <w:tcPr>
            <w:tcW w:type="dxa" w:w="135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ГЗ (ставка есть)</w:t>
            </w:r>
          </w:p>
        </w:tc>
      </w:tr>
      <w:tr>
        <w:tc>
          <w:tcPr>
            <w:tcW w:type="dxa" w:w="45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3</w:t>
            </w:r>
          </w:p>
        </w:tc>
        <w:tc>
          <w:tcPr>
            <w:tcW w:type="dxa" w:w="3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Педагог ДО — 2-й педагог (к найму)</w:t>
            </w:r>
          </w:p>
        </w:tc>
        <w:tc>
          <w:tcPr>
            <w:tcW w:type="dxa" w:w="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1.0</w:t>
            </w:r>
          </w:p>
        </w:tc>
        <w:tc>
          <w:tcPr>
            <w:tcW w:type="dxa" w:w="1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38 000</w:t>
            </w:r>
          </w:p>
        </w:tc>
        <w:tc>
          <w:tcPr>
            <w:tcW w:type="dxa" w:w="13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38 000</w:t>
            </w:r>
          </w:p>
        </w:tc>
        <w:tc>
          <w:tcPr>
            <w:tcW w:type="dxa" w:w="135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Грант</w:t>
            </w:r>
          </w:p>
        </w:tc>
      </w:tr>
      <w:tr>
        <w:tc>
          <w:tcPr>
            <w:tcW w:type="dxa" w:w="45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4</w:t>
            </w:r>
          </w:p>
        </w:tc>
        <w:tc>
          <w:tcPr>
            <w:tcW w:type="dxa" w:w="3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Инженер-лаборант (техник-лаборант)</w:t>
            </w:r>
          </w:p>
        </w:tc>
        <w:tc>
          <w:tcPr>
            <w:tcW w:type="dxa" w:w="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1.0</w:t>
            </w:r>
          </w:p>
        </w:tc>
        <w:tc>
          <w:tcPr>
            <w:tcW w:type="dxa" w:w="1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32 000</w:t>
            </w:r>
          </w:p>
        </w:tc>
        <w:tc>
          <w:tcPr>
            <w:tcW w:type="dxa" w:w="13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32 000</w:t>
            </w:r>
          </w:p>
        </w:tc>
        <w:tc>
          <w:tcPr>
            <w:tcW w:type="dxa" w:w="135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Грант</w:t>
            </w:r>
          </w:p>
        </w:tc>
      </w:tr>
      <w:tr>
        <w:tc>
          <w:tcPr>
            <w:tcW w:type="dxa" w:w="45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5</w:t>
            </w:r>
          </w:p>
        </w:tc>
        <w:tc>
          <w:tcPr>
            <w:tcW w:type="dxa" w:w="3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Методист</w:t>
            </w:r>
          </w:p>
        </w:tc>
        <w:tc>
          <w:tcPr>
            <w:tcW w:type="dxa" w:w="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0.5</w:t>
            </w:r>
          </w:p>
        </w:tc>
        <w:tc>
          <w:tcPr>
            <w:tcW w:type="dxa" w:w="1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36 000</w:t>
            </w:r>
          </w:p>
        </w:tc>
        <w:tc>
          <w:tcPr>
            <w:tcW w:type="dxa" w:w="13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18 000</w:t>
            </w:r>
          </w:p>
        </w:tc>
        <w:tc>
          <w:tcPr>
            <w:tcW w:type="dxa" w:w="135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Грант / совмест.</w:t>
            </w:r>
          </w:p>
        </w:tc>
      </w:tr>
      <w:tr>
        <w:tc>
          <w:tcPr>
            <w:tcW w:type="dxa" w:w="45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3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ИТОГО в месяц:</w:t>
            </w:r>
          </w:p>
        </w:tc>
        <w:tc>
          <w:tcPr>
            <w:tcW w:type="dxa" w:w="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3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187 000</w:t>
            </w:r>
          </w:p>
        </w:tc>
        <w:tc>
          <w:tcPr>
            <w:tcW w:type="dxa" w:w="135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45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3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ИТОГО в год (10 мес.):</w:t>
            </w:r>
          </w:p>
        </w:tc>
        <w:tc>
          <w:tcPr>
            <w:tcW w:type="dxa" w:w="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3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1 870 000</w:t>
            </w:r>
          </w:p>
        </w:tc>
        <w:tc>
          <w:tcPr>
            <w:tcW w:type="dxa" w:w="135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</w:tbl>
    <w:p>
      <w:pPr>
        <w:spacing w:after="40" w:before="40"/>
      </w:pPr>
      <w:r>
        <w:rPr>
          <w:rFonts w:ascii="Arial" w:cs="Arial" w:eastAsia="Arial" w:hAnsi="Arial"/>
          <w:color w:val="555555"/>
          <w:sz w:val="18"/>
          <w:szCs w:val="18"/>
        </w:rPr>
        <w:t xml:space="preserve">* Надбавки устанавливаются приказом директора согласно Положению об оплате труда.</w:t>
      </w:r>
    </w:p>
    <w:p>
      <w:r>
        <w:rPr>
          <w:rFonts w:ascii="Arial" w:cs="Arial" w:eastAsia="Arial" w:hAnsi="Arial"/>
          <w:sz w:val="12"/>
          <w:szCs w:val="12"/>
        </w:rPr>
        <w:t xml:space="preserve"> </w:t>
      </w:r>
    </w:p>
    <w:p>
      <w:pPr>
        <w:spacing w:after="0" w:before="0"/>
      </w:pPr>
      <w:r>
        <w:br w:type="page"/>
      </w:r>
    </w:p>
    <w:p>
      <w:pPr>
        <w:spacing w:after="160" w:before="280"/>
        <w:jc w:val="center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ДОЛЖНОСТНАЯ ИНСТРУКЦИЯ Заведующего структурным подразделением «Технологическая лаборатория»</w:t>
      </w:r>
    </w:p>
    <w:tbl>
      <w:tblPr>
        <w:tblW w:type="dxa" w:w="9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5000"/>
      </w:tblGrid>
      <w:tr>
        <w:tc>
          <w:tcPr>
            <w:tcW w:type="dxa" w:w="4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УТВЕРЖДАЮ
Директор КГАОУ «Школа космонавтики»
__________/ _____________/
Приказ № ___ от «___» ______ 2026 г.</w:t>
            </w:r>
          </w:p>
        </w:tc>
        <w:tc>
          <w:tcPr>
            <w:tcW w:type="dxa" w:w="5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СОГЛАСОВАНО
с профсоюзным комитетом
Протокол № ___ от «___» ______ 2026 г.</w:t>
            </w:r>
          </w:p>
        </w:tc>
      </w:tr>
    </w:tbl>
    <w:p>
      <w:r>
        <w:rPr>
          <w:rFonts w:ascii="Arial" w:cs="Arial" w:eastAsia="Arial" w:hAnsi="Arial"/>
          <w:sz w:val="12"/>
          <w:szCs w:val="12"/>
        </w:rPr>
        <w:t xml:space="preserve"> </w:t>
      </w:r>
    </w:p>
    <w:p>
      <w:pPr>
        <w:spacing w:after="100" w:before="2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1. Общие положения</w:t>
      </w:r>
    </w:p>
    <w:p>
      <w:pPr>
        <w:spacing w:after="60" w:before="60" w:line="276"/>
        <w:ind w:firstLine="720"/>
        <w:jc w:val="both"/>
      </w:pPr>
      <w:r>
        <w:rPr>
          <w:rFonts w:ascii="Arial" w:cs="Arial" w:eastAsia="Arial" w:hAnsi="Arial"/>
          <w:b w:val="false"/>
          <w:bCs w:val="false"/>
          <w:color w:val="000000"/>
          <w:sz w:val="24"/>
          <w:szCs w:val="24"/>
        </w:rPr>
        <w:t xml:space="preserve">1.1. Заведующий относится к категории руководителей. Назначается и освобождается от должности приказом директора КГАОУ. Непосредственно подчиняется заместителю директора по ДО.</w:t>
      </w:r>
    </w:p>
    <w:p>
      <w:pPr>
        <w:spacing w:after="60" w:before="60" w:line="276"/>
        <w:ind w:firstLine="720"/>
        <w:jc w:val="both"/>
      </w:pPr>
      <w:r>
        <w:rPr>
          <w:rFonts w:ascii="Arial" w:cs="Arial" w:eastAsia="Arial" w:hAnsi="Arial"/>
          <w:b w:val="false"/>
          <w:bCs w:val="false"/>
          <w:color w:val="000000"/>
          <w:sz w:val="24"/>
          <w:szCs w:val="24"/>
        </w:rPr>
        <w:t xml:space="preserve">1.2. На период отсутствия его обязанности исполняет педагог ДО, назначенный приказом директора.</w:t>
      </w:r>
    </w:p>
    <w:p>
      <w:r>
        <w:rPr>
          <w:rFonts w:ascii="Arial" w:cs="Arial" w:eastAsia="Arial" w:hAnsi="Arial"/>
          <w:sz w:val="12"/>
          <w:szCs w:val="12"/>
        </w:rPr>
        <w:t xml:space="preserve"> </w:t>
      </w:r>
    </w:p>
    <w:p>
      <w:pPr>
        <w:spacing w:after="100" w:before="2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2. Квалификационные требования к Заведующему</w:t>
      </w:r>
    </w:p>
    <w:tbl>
      <w:tblPr>
        <w:tblW w:type="dxa" w:w="9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7000"/>
      </w:tblGrid>
      <w:tr>
        <w:trPr>
          <w:tblHeader/>
        </w:trPr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Параметр</w:t>
            </w:r>
          </w:p>
        </w:tc>
        <w:tc>
          <w:tcPr>
            <w:tcW w:type="dxa" w:w="7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Требование</w:t>
            </w:r>
          </w:p>
        </w:tc>
      </w:tr>
      <w:tr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Образование</w:t>
            </w:r>
          </w:p>
        </w:tc>
        <w:tc>
          <w:tcPr>
            <w:tcW w:type="dxa" w:w="7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Высшее профессиональное: педагогика, технология, информатика, инженерные специальности (САПР, приборостроение, ИТ)</w:t>
            </w:r>
          </w:p>
        </w:tc>
      </w:tr>
      <w:tr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Стаж</w:t>
            </w:r>
          </w:p>
        </w:tc>
        <w:tc>
          <w:tcPr>
            <w:tcW w:type="dxa" w:w="7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Педагогический или инженерный ≥ 3 лет; опыт руководства коллективом от 1 года</w:t>
            </w:r>
          </w:p>
        </w:tc>
      </w:tr>
      <w:tr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Сертификаты (желательно)</w:t>
            </w:r>
          </w:p>
        </w:tc>
        <w:tc>
          <w:tcPr>
            <w:tcW w:type="dxa" w:w="7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Повышение квалификации в области ДО; по направлениям Arduino, Unity, КОМПАС-3D, БПЛА</w:t>
            </w:r>
          </w:p>
        </w:tc>
      </w:tr>
      <w:tr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Обязательные знания</w:t>
            </w:r>
          </w:p>
        </w:tc>
        <w:tc>
          <w:tcPr>
            <w:tcW w:type="dxa" w:w="7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ФЗ «Об образовании», требования к ДООП, СП 2.4.3648-20, нормы ТБ, бюджетирование, грантовая отчётность</w:t>
            </w:r>
          </w:p>
        </w:tc>
      </w:tr>
      <w:tr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Обязательные умения</w:t>
            </w:r>
          </w:p>
        </w:tc>
        <w:tc>
          <w:tcPr>
            <w:tcW w:type="dxa" w:w="7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Стратегическое планирование, работа с электронным журналом, публичные выступления, документооборот</w:t>
            </w:r>
          </w:p>
        </w:tc>
      </w:tr>
      <w:tr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Личные компетенции</w:t>
            </w:r>
          </w:p>
        </w:tc>
        <w:tc>
          <w:tcPr>
            <w:tcW w:type="dxa" w:w="7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Лидерство, системное мышление, коммуникабельность, стрессоустойчивость, непрерывное самообучение</w:t>
            </w:r>
          </w:p>
        </w:tc>
      </w:tr>
    </w:tbl>
    <w:p>
      <w:r>
        <w:rPr>
          <w:rFonts w:ascii="Arial" w:cs="Arial" w:eastAsia="Arial" w:hAnsi="Arial"/>
          <w:sz w:val="12"/>
          <w:szCs w:val="12"/>
        </w:rPr>
        <w:t xml:space="preserve"> </w:t>
      </w:r>
    </w:p>
    <w:p>
      <w:pPr>
        <w:spacing w:after="100" w:before="2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 Должностные обязанности Заведующего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организовывать и координировать образовательный процесс во всех 7 направлениях Лаборатории;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разрабатывать ежегодный план работы; представлять его на утверждение директору;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обеспечивать реализацию ДООП «Технологическая лаборатория» в полном объёме;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осуществлять подбор, расстановку и профессиональное развитие персонала Лаборатории;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организовывать участие обучающихся в «Больших вызовах», НТО, ВсОШ, JuniorSkills, WRO;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вести переговоры с предприятиями (ПАО «ИСС», ГХК) по наставничеству и профориентации;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обеспечивать сохранность оборудования; вести инвентарный учёт;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организовывать и контролировать соблюдение охраны труда и ТБ;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представлять ежемесячную отчётность по посещаемости; ежегодный аналитический отчёт;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курировать грантовую деятельность: подготовку заявок, отчётность перед грантодателями;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повышать квалификацию не реже одного раза в 3 года.</w:t>
      </w:r>
    </w:p>
    <w:p>
      <w:r>
        <w:rPr>
          <w:rFonts w:ascii="Arial" w:cs="Arial" w:eastAsia="Arial" w:hAnsi="Arial"/>
          <w:sz w:val="12"/>
          <w:szCs w:val="12"/>
        </w:rPr>
        <w:t xml:space="preserve"> </w:t>
      </w:r>
    </w:p>
    <w:p>
      <w:pPr>
        <w:spacing w:after="100" w:before="2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4. Права и ответственность Заведующего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ПРАВА: вносить предложения по программам и оборудованию; представлять персонал к поощрениям; принимать оперативные решения; участвовать в педагогическом совете.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ОТВЕТСТВЕННОСТЬ: за качество образовательного процесса и KPI; за ТБ; за сохранность имущества; за достоверность документации — по ТК РФ.</w:t>
      </w:r>
    </w:p>
    <w:p>
      <w:r>
        <w:rPr>
          <w:rFonts w:ascii="Arial" w:cs="Arial" w:eastAsia="Arial" w:hAnsi="Arial"/>
          <w:sz w:val="12"/>
          <w:szCs w:val="12"/>
        </w:rPr>
        <w:t xml:space="preserve"> </w:t>
      </w:r>
    </w:p>
    <w:p>
      <w:pPr>
        <w:spacing w:after="0" w:before="0"/>
      </w:pPr>
      <w:r>
        <w:br w:type="page"/>
      </w:r>
    </w:p>
    <w:p>
      <w:pPr>
        <w:spacing w:after="160" w:before="280"/>
        <w:jc w:val="center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ДОЛЖНОСТНАЯ ИНСТРУКЦИЯ Педагога дополнительного образования «Технологической лаборатории»</w:t>
      </w:r>
    </w:p>
    <w:p>
      <w:pPr>
        <w:spacing w:after="100" w:before="2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1. Общие положения</w:t>
      </w:r>
    </w:p>
    <w:p>
      <w:pPr>
        <w:spacing w:after="60" w:before="60" w:line="276"/>
        <w:ind w:firstLine="720"/>
        <w:jc w:val="both"/>
      </w:pPr>
      <w:r>
        <w:rPr>
          <w:rFonts w:ascii="Arial" w:cs="Arial" w:eastAsia="Arial" w:hAnsi="Arial"/>
          <w:b w:val="false"/>
          <w:bCs w:val="false"/>
          <w:color w:val="000000"/>
          <w:sz w:val="24"/>
          <w:szCs w:val="24"/>
        </w:rPr>
        <w:t xml:space="preserve">Педагог ведёт занятия по одному или нескольким направлениям ДООП. Назначается приказом директора. Непосредственно подчиняется Заведующему. Деятельность осуществляется в соответствии с Профстандартом «Педагог ДО» (Приказ Минтруда № 652н, 2021).</w:t>
      </w:r>
    </w:p>
    <w:p>
      <w:r>
        <w:rPr>
          <w:rFonts w:ascii="Arial" w:cs="Arial" w:eastAsia="Arial" w:hAnsi="Arial"/>
          <w:sz w:val="12"/>
          <w:szCs w:val="12"/>
        </w:rPr>
        <w:t xml:space="preserve"> </w:t>
      </w:r>
    </w:p>
    <w:p>
      <w:pPr>
        <w:spacing w:after="100" w:before="2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2. Матрица компетенций по направлениям</w:t>
      </w:r>
    </w:p>
    <w:tbl>
      <w:tblPr>
        <w:tblW w:type="dxa" w:w="9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4500"/>
        <w:gridCol w:w="3200"/>
      </w:tblGrid>
      <w:tr>
        <w:trPr>
          <w:tblHeader/>
        </w:trPr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Направление</w:t>
            </w:r>
          </w:p>
        </w:tc>
        <w:tc>
          <w:tcPr>
            <w:tcW w:type="dxa" w:w="4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Обязательные компетенции для найма</w:t>
            </w:r>
          </w:p>
        </w:tc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Желательно</w:t>
            </w:r>
          </w:p>
        </w:tc>
      </w:tr>
      <w:tr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Лаб. 1 — Робототехника</w:t>
            </w:r>
          </w:p>
        </w:tc>
        <w:tc>
          <w:tcPr>
            <w:tcW w:type="dxa" w:w="4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Программирование LEGO EV3 Classroom; основы Arduino; механика мобильных роботов</w:t>
            </w:r>
          </w:p>
        </w:tc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Опыт WRO/RoboFest; сертификат LEGO Education</w:t>
            </w:r>
          </w:p>
        </w:tc>
      </w:tr>
      <w:tr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Лаб. 2 — Электроника</w:t>
            </w:r>
          </w:p>
        </w:tc>
        <w:tc>
          <w:tcPr>
            <w:tcW w:type="dxa" w:w="4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Схемотехника по ГОСТ 2.721; Arduino IDE (C++); пайка; мультиметр/осциллограф; датчики DHT11, PIR, BMP280, MPU6050</w:t>
            </w:r>
          </w:p>
        </w:tc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Курс по электронике (Stepik/Coursera); DIY-проекты на Habr</w:t>
            </w:r>
          </w:p>
        </w:tc>
      </w:tr>
      <w:tr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Лаб. 3 — Blender 3D</w:t>
            </w:r>
          </w:p>
        </w:tc>
        <w:tc>
          <w:tcPr>
            <w:tcW w:type="dxa" w:w="4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Blender 4.x (меш, Principled BSDF, EEVEE/Cycles, UV); слайсер Cura; FDM-принтер</w:t>
            </w:r>
          </w:p>
        </w:tc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ArtStation-портфолио; 3D-печать под разные материалы</w:t>
            </w:r>
          </w:p>
        </w:tc>
      </w:tr>
      <w:tr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Лаб. 4 — КОМПАС-3D</w:t>
            </w:r>
          </w:p>
        </w:tc>
        <w:tc>
          <w:tcPr>
            <w:tcW w:type="dxa" w:w="4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КОМПАС-3D v21+: 2D-ЕСКД, 3D-моделирование, сборки, спецификации; ГОСТ 2.305, 2.106</w:t>
            </w:r>
          </w:p>
        </w:tc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Сертификат АСКОН; опыт конструктора САПР</w:t>
            </w:r>
          </w:p>
        </w:tc>
      </w:tr>
      <w:tr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Лаб. 5 — БПЛА</w:t>
            </w:r>
          </w:p>
        </w:tc>
        <w:tc>
          <w:tcPr>
            <w:tcW w:type="dxa" w:w="4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Пилотирование (Angle/Stabilized); Betaflight (калибровка, PID); законодательство РФ о БПЛА; платформа Геоскан Пионер</w:t>
            </w:r>
          </w:p>
        </w:tc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Свидетельство оператора БПЛА Росавиации; FPV-опыт</w:t>
            </w:r>
          </w:p>
        </w:tc>
      </w:tr>
      <w:tr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Лаб. 6 — VR-разработка</w:t>
            </w:r>
          </w:p>
        </w:tc>
        <w:tc>
          <w:tcPr>
            <w:tcW w:type="dxa" w:w="4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Unity 2022 LTS (URP, XR Interaction Toolkit v2.x); C# (ООП, события); ADB/APK сборка; работа с Pico 4 Ultra</w:t>
            </w:r>
          </w:p>
        </w:tc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Портфолио VR/AR проектов; Unity Associate сертификат</w:t>
            </w:r>
          </w:p>
        </w:tc>
      </w:tr>
      <w:tr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Лаб. 7 — Проектная деятельность</w:t>
            </w:r>
          </w:p>
        </w:tc>
        <w:tc>
          <w:tcPr>
            <w:tcW w:type="dxa" w:w="4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SMART-целеполагание; диаграмма Ганта; управление рисками; оформление НПК-документации; публичное выступление</w:t>
            </w:r>
          </w:p>
        </w:tc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Опыт руководства школьными НИР; знание стандартов «Больших вызовов»</w:t>
            </w:r>
          </w:p>
        </w:tc>
      </w:tr>
    </w:tbl>
    <w:p>
      <w:r>
        <w:rPr>
          <w:rFonts w:ascii="Arial" w:cs="Arial" w:eastAsia="Arial" w:hAnsi="Arial"/>
          <w:sz w:val="12"/>
          <w:szCs w:val="12"/>
        </w:rPr>
        <w:t xml:space="preserve"> </w:t>
      </w:r>
    </w:p>
    <w:p>
      <w:pPr>
        <w:spacing w:after="100" w:before="2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 Должностные обязанности Педагога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проводить занятия согласно КТП (4 академических часа в неделю на каждое направление);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осуществлять входную, текущую и итоговую диагностику компетенций;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своевременно заполнять электронный журнал посещаемости;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инструктировать обучающихся по ТБ под роспись перед первым занятием;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готовить обучающихся к конкурсам и сопровождать команды на соревнованиях;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формировать портфолио достижений; обновлять методические материалы;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повышать квалификацию не реже одного раза в 3 года.</w:t>
      </w:r>
    </w:p>
    <w:p>
      <w:r>
        <w:rPr>
          <w:rFonts w:ascii="Arial" w:cs="Arial" w:eastAsia="Arial" w:hAnsi="Arial"/>
          <w:sz w:val="12"/>
          <w:szCs w:val="12"/>
        </w:rPr>
        <w:t xml:space="preserve"> </w:t>
      </w:r>
    </w:p>
    <w:p>
      <w:pPr>
        <w:spacing w:after="0" w:before="0"/>
      </w:pPr>
      <w:r>
        <w:br w:type="page"/>
      </w:r>
    </w:p>
    <w:p>
      <w:pPr>
        <w:spacing w:after="160" w:before="280"/>
        <w:jc w:val="center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ДОЛЖНОСТНАЯ ИНСТРУКЦИЯ Инженера-лаборанта «Технологической лаборатории»</w:t>
      </w:r>
    </w:p>
    <w:p>
      <w:pPr>
        <w:spacing w:after="100" w:before="2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1. Квалификационные требования</w:t>
      </w:r>
    </w:p>
    <w:tbl>
      <w:tblPr>
        <w:tblW w:type="dxa" w:w="9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7000"/>
      </w:tblGrid>
      <w:tr>
        <w:trPr>
          <w:tblHeader/>
        </w:trPr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Параметр</w:t>
            </w:r>
          </w:p>
        </w:tc>
        <w:tc>
          <w:tcPr>
            <w:tcW w:type="dxa" w:w="7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Требование</w:t>
            </w:r>
          </w:p>
        </w:tc>
      </w:tr>
      <w:tr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Образование</w:t>
            </w:r>
          </w:p>
        </w:tc>
        <w:tc>
          <w:tcPr>
            <w:tcW w:type="dxa" w:w="7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СПО или ВО: электроника, радиотехника, информационные технологии, техническая эксплуатация оборудования</w:t>
            </w:r>
          </w:p>
        </w:tc>
      </w:tr>
      <w:tr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Стаж</w:t>
            </w:r>
          </w:p>
        </w:tc>
        <w:tc>
          <w:tcPr>
            <w:tcW w:type="dxa" w:w="7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Без требований (допускается выпускник без опыта при наличии практических компетенций)</w:t>
            </w:r>
          </w:p>
        </w:tc>
      </w:tr>
      <w:tr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Обязательные навыки</w:t>
            </w:r>
          </w:p>
        </w:tc>
        <w:tc>
          <w:tcPr>
            <w:tcW w:type="dxa" w:w="7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Диагностика и ремонт электроники (пайка, замена компонентов); настройка ПО; обслуживание FDM-принтеров; базовый Android/ADB (для Pico 4 Ultra); хранение и зарядка LiPo</w:t>
            </w:r>
          </w:p>
        </w:tc>
      </w:tr>
      <w:tr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Желательно</w:t>
            </w:r>
          </w:p>
        </w:tc>
        <w:tc>
          <w:tcPr>
            <w:tcW w:type="dxa" w:w="7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Опыт обслуживания БПЛА; Betaflight; администрирование Windows</w:t>
            </w:r>
          </w:p>
        </w:tc>
      </w:tr>
      <w:tr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Личные качества</w:t>
            </w:r>
          </w:p>
        </w:tc>
        <w:tc>
          <w:tcPr>
            <w:tcW w:type="dxa" w:w="7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Аккуратность, ответственность, самостоятельность, готовность к непрерывному обучению</w:t>
            </w:r>
          </w:p>
        </w:tc>
      </w:tr>
    </w:tbl>
    <w:p>
      <w:r>
        <w:rPr>
          <w:rFonts w:ascii="Arial" w:cs="Arial" w:eastAsia="Arial" w:hAnsi="Arial"/>
          <w:sz w:val="12"/>
          <w:szCs w:val="12"/>
        </w:rPr>
        <w:t xml:space="preserve"> </w:t>
      </w:r>
    </w:p>
    <w:p>
      <w:pPr>
        <w:spacing w:after="100" w:before="2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2. Должностные обязанности Инженера-лаборанта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подготовка оборудования к занятиям: выдача, сборка, проверка комплектов EV3, Arduino, Pico 4 Ultra, БПЛА, паяльных станций;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техническое обслуживание: диагностика неисправностей, мелкий ремонт, направление в гарантийный сервис;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обслуживание FDM-принтеров: загрузка пластика, чистка стола, замена сопел, мониторинг печати;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ведение складского учёта расходных материалов (PLA/PETG, компоненты, LiPo, пропеллеры, припой);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установка, обновление и администрирование ПО: EV3 Classroom, Arduino IDE, Blender, КОМПАС-3D, Unity, Betaflight;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ведение журнала технического состояния; журнала выдачи/возврата оборудования;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зарядка и хранение аккумуляторов согласно регламентам безопасности;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участие в инвентаризации не реже 2 раз в год.</w:t>
      </w:r>
    </w:p>
    <w:p>
      <w:pPr>
        <w:spacing w:after="60" w:before="60" w:line="276"/>
        <w:ind w:firstLine="720"/>
        <w:jc w:val="both"/>
      </w:pPr>
      <w:r>
        <w:rPr>
          <w:rFonts w:ascii="Arial" w:cs="Arial" w:eastAsia="Arial" w:hAnsi="Arial"/>
          <w:b w:val="false"/>
          <w:bCs w:val="false"/>
          <w:color w:val="000000"/>
          <w:sz w:val="24"/>
          <w:szCs w:val="24"/>
        </w:rPr>
        <w:t xml:space="preserve">Лаборант несёт материальную ответственность за сохранность оборудования в соответствии с договором о полной матответственности (ТК РФ ст. 244).</w:t>
      </w:r>
    </w:p>
    <w:p>
      <w:r>
        <w:rPr>
          <w:rFonts w:ascii="Arial" w:cs="Arial" w:eastAsia="Arial" w:hAnsi="Arial"/>
          <w:sz w:val="12"/>
          <w:szCs w:val="12"/>
        </w:rPr>
        <w:t xml:space="preserve"> </w:t>
      </w:r>
    </w:p>
    <w:p>
      <w:pPr>
        <w:spacing w:after="0" w:before="0"/>
      </w:pPr>
      <w:r>
        <w:br w:type="page"/>
      </w:r>
    </w:p>
    <w:p>
      <w:pPr>
        <w:spacing w:after="160" w:before="280"/>
        <w:jc w:val="center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ДОЛЖНОСТНАЯ ИНСТРУКЦИЯ Методиста «Технологической лаборатории»</w:t>
      </w:r>
    </w:p>
    <w:p>
      <w:pPr>
        <w:spacing w:after="100" w:before="2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1. Квалификационные требования</w:t>
      </w:r>
    </w:p>
    <w:tbl>
      <w:tblPr>
        <w:tblW w:type="dxa" w:w="9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7000"/>
      </w:tblGrid>
      <w:tr>
        <w:trPr>
          <w:tblHeader/>
        </w:trPr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Параметр</w:t>
            </w:r>
          </w:p>
        </w:tc>
        <w:tc>
          <w:tcPr>
            <w:tcW w:type="dxa" w:w="7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Требование</w:t>
            </w:r>
          </w:p>
        </w:tc>
      </w:tr>
      <w:tr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Образование</w:t>
            </w:r>
          </w:p>
        </w:tc>
        <w:tc>
          <w:tcPr>
            <w:tcW w:type="dxa" w:w="7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Высшее педагогическое или в сфере управления образованием; проф. переподготовка по методической деятельности</w:t>
            </w:r>
          </w:p>
        </w:tc>
      </w:tr>
      <w:tr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Стаж</w:t>
            </w:r>
          </w:p>
        </w:tc>
        <w:tc>
          <w:tcPr>
            <w:tcW w:type="dxa" w:w="7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Педагогический или методический ≥ 1 года</w:t>
            </w:r>
          </w:p>
        </w:tc>
      </w:tr>
      <w:tr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Умения</w:t>
            </w:r>
          </w:p>
        </w:tc>
        <w:tc>
          <w:tcPr>
            <w:tcW w:type="dxa" w:w="7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Требования к ДООП; электронные журналы; статистика результатов; оформление грантовой отчётности; Google Docs, Word, Excel</w:t>
            </w:r>
          </w:p>
        </w:tc>
      </w:tr>
    </w:tbl>
    <w:p>
      <w:r>
        <w:rPr>
          <w:rFonts w:ascii="Arial" w:cs="Arial" w:eastAsia="Arial" w:hAnsi="Arial"/>
          <w:sz w:val="12"/>
          <w:szCs w:val="12"/>
        </w:rPr>
        <w:t xml:space="preserve"> </w:t>
      </w:r>
    </w:p>
    <w:p>
      <w:pPr>
        <w:spacing w:after="100" w:before="2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2. Должностные обязанности Методиста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методическое сопровождение реализации ДООП «Технологическая лаборатория»;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разработка и актуализация диагностических материалов: анкеты, чек-листы, листы самооценки;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подготовка статистической отчётности (посещаемость, конкурсные результаты);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ведение документации для грантодателя: промежуточные и итоговые отчёты, акты;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мониторинг конкурсного календаря «Больших вызовов», НТО, ВсОШ, JuniorSkills;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помощь педагогам в оформлении конкурсных заявок и проектной документации;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ведение сайта/соцсетей Лаборатории; банк методических материалов.</w:t>
      </w:r>
    </w:p>
    <w:p>
      <w:r>
        <w:rPr>
          <w:rFonts w:ascii="Arial" w:cs="Arial" w:eastAsia="Arial" w:hAnsi="Arial"/>
          <w:sz w:val="12"/>
          <w:szCs w:val="12"/>
        </w:rPr>
        <w:t xml:space="preserve"> </w:t>
      </w:r>
    </w:p>
    <w:p>
      <w:pPr>
        <w:pBdr>
          <w:bottom w:val="single" w:color="2E75B6" w:sz="6" w:space="1"/>
        </w:pBdr>
        <w:spacing w:after="100" w:before="100"/>
      </w:pPr>
      <w:r>
        <w:rPr>
          <w:rFonts w:ascii="Arial" w:cs="Arial" w:eastAsia="Arial" w:hAnsi="Arial"/>
          <w:sz w:val="8"/>
          <w:szCs w:val="8"/>
        </w:rPr>
        <w:t xml:space="preserve"> </w:t>
      </w:r>
    </w:p>
    <w:p>
      <w:pPr>
        <w:spacing w:after="40" w:before="40"/>
      </w:pPr>
      <w:r>
        <w:rPr>
          <w:rFonts w:ascii="Arial" w:cs="Arial" w:eastAsia="Arial" w:hAnsi="Arial"/>
          <w:color w:val="555555"/>
          <w:sz w:val="18"/>
          <w:szCs w:val="18"/>
        </w:rPr>
        <w:t xml:space="preserve">Должностные инструкции разработаны в соответствии с ЕКС и Профстандартом «Педагог ДО детей и взрослых» (Приказ Минтруда РФ № 652н от 22.09.2021).</w:t>
      </w:r>
    </w:p>
    <w:sectPr>
      <w:pgSz w:w="11906" w:h="16838" w:orient="portrait"/>
      <w:pgMar w:top="1134" w:right="851" w:bottom="1134" w:left="1701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–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2026-05-04T02:50:00.269Z</dcterms:created>
  <dcterms:modified xsi:type="dcterms:W3CDTF">2026-05-04T02:50:00.269Z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