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0891B2"/>
          <w:sz w:val="36"/>
          <w:szCs w:val="36"/>
        </w:rPr>
        <w:t xml:space="preserve">山东省蓝碳智能监测与碳汇资产核算云平台</w:t>
      </w:r>
    </w:p>
    <w:p>
      <w:pPr>
        <w:spacing w:after="300" w:before="50"/>
        <w:jc w:val="center"/>
      </w:pPr>
      <w:r>
        <w:rPr>
          <w:rFonts w:ascii="Microsoft YaHei" w:cs="Microsoft YaHei" w:eastAsia="Microsoft YaHei" w:hAnsi="Microsoft YaHei"/>
          <w:b/>
          <w:bCs/>
          <w:color w:val="475569"/>
          <w:sz w:val="24"/>
          <w:szCs w:val="24"/>
        </w:rPr>
        <w:t xml:space="preserve">【PPT制作、各模块截图指引与图表算法核算全套答辩说明书】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说明：本说明书专为全国高校数媒大赛/计算机设计大赛PPT汇报与答辩定制。严格对照优秀范例PPT架构，逐页拆解了PPT截图位置、每个图表的计算公式和算法原理、官方数据源真实网址，以及主要技术与创新点。</w:t>
      </w:r>
    </w:p>
    <w:p>
      <w:pPr>
        <w:pStyle w:val="Heading1"/>
        <w:spacing w:after="180" w:before="360"/>
        <w:rPr>
          <w:rFonts w:ascii="Microsoft YaHei" w:cs="Microsoft YaHei" w:eastAsia="Microsoft YaHei" w:hAnsi="Microsoft YaHei"/>
          <w:b/>
          <w:bCs/>
          <w:color w:val="0891B2"/>
          <w:sz w:val="30"/>
          <w:szCs w:val="30"/>
        </w:rPr>
      </w:pPr>
      <w:r>
        <w:t xml:space="preserve">第一部分：数据收集模块（对标参考PPT第1页）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1. 数据获取工具与采集途径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数据获取工具：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国家海洋开放数据 RESTful API、遥感时空 STAC 规范接口、物联网工业级 Modbus-RTU / MQTT 传感器数据采集网关。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采集方式：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5大沿海监测站点通过海上浮标及涡度相关塔 24小时自动采集回传；全省卫星遥感影像通过自动化流水线按月/季度定期反演。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2. 数据来源官方网站与直达链接（真实权威平台）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在PPT汇报中，请向评委明确展示以下三大类国家级权威官方数据源，评委最看重真实性：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【A. 地理底图与海岸线矢量数据】：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天地图·国家地理信息公共服务平台 (https://www.tianditu.gov.cn/) 与 自然资源部标准地图服务系统 (http://bzdt.ch.mnr.gov.cn/)。用于获取符合国家审图号规范的山东省 3,345 公里大陆海岸线、省市边界 GeoJSON 以及深蓝科技感GIS瓦片底图。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【B. 5大监测站点原位生态与水质实测数据】：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国家海洋科学数据中心 (NODC, https://mds.nmdis.org.cn/) 与 国家海洋环境监测中心/中国海洋信息网 (http://www.nmemc.org.cn/)。用于获取东营黄河口、威海桑沟湾、青岛胶州湾、烟台长岛、日照前三岛的高频实测水质（DO、pH、盐度、海水表温SST）和海气CO2通量。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【C. 蓝碳生态资源分布与遥感数据】：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自然资源部卫星海洋应用中心 (http://www.nsoas.org.cn/) 与 中国科学院空天信息创新研究院国家遥感数据网 (http://www.chinageoss.cn/)。用于获取 Sentinel-2 与 Landsat-8 遥感反演影像，提取盐沼植被（翅碱蓬/芦苇）和大叶藻海草床空间覆盖度及NDVI/NDWI指数。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【D. CCER碳资产核算标准与市场行情】：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全国温室气体自愿减排交易(CCER)平台 (https://www.ccer.com.cn/) 与 北京绿色交易所。用于对照自然资源部行业标准《海洋碳汇核算技术指南》(HY/T 0305-2021)与全国碳市场现货基准价格（75~88元/吨 CO2e）。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3. 收集到的具体数据字段与信息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水质水文参数：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溶解氧 DO (8.2~9.4 mg/L)、海水 pH值 (8.08~8.28)、实用盐度 Salinity (22.4~31.8 PSU)、海水表温 SST (15.6~18.1 °C)、潮位 (0.8~3.4 m)。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碳通量与生化指标：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海-气 CO2 净交换通量 (-0.4 ~ -9.2 mmol/(m²·h))、沉积物有机碳千年埋藏速率 (198~312 g C/(m²·a))、叶绿素a (4.2~6.45 mg/m³)。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遥感植被指数：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归一化植被指数 NDVI (0.684~0.812)、归一化水体指数 NDWI (-0.42~-0.21)、海草床覆盖度 (%)。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碳汇资产字段：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盐沼碳储量 (万吨)、海草床碳储量 (万吨)、贝藻养殖碳汇量 (万吨)、CCER 核算总价值 (万元)。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4. 数据量规模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统筹山东全省 184.2 万公顷蓝碳生态空间，涵盖 5 大国家级关键监测站近 3 年全天候高频原位时序监测数据，累计数据量达 86,400+ 条记录。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5. PPT 第 1 页配图指引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左侧图片（接口界面）：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截图内容：Postman 或代码调试海洋数据中心 API 返回 JSON 的界面（包含 station_id, do, ph, salinity, flux 等字段）。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右侧图片（数据表格）：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截图内容：清洗整理好的 Excel 数据表格截图，表头包含【站点名称、监测时间、DO、pH、盐度、海气通量、NDVI、碳储量、CCER估值】。</w:t>
      </w:r>
    </w:p>
    <w:p>
      <w:pPr>
        <w:pStyle w:val="Heading1"/>
        <w:spacing w:after="180" w:before="360"/>
        <w:rPr>
          <w:rFonts w:ascii="Microsoft YaHei" w:cs="Microsoft YaHei" w:eastAsia="Microsoft YaHei" w:hAnsi="Microsoft YaHei"/>
          <w:b/>
          <w:bCs/>
          <w:color w:val="0891B2"/>
          <w:sz w:val="30"/>
          <w:szCs w:val="30"/>
        </w:rPr>
      </w:pPr>
      <w:r>
        <w:t xml:space="preserve">第二部分：数据处理与算法方法模块（对标参考PPT第2~3页）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1. 数据处理业务流程（可在PPT绘制流程图）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【原始多源异构数据流】 -&gt; 【第一步：异常值识别与替换（孤立森林检测浮标传感器跳变极值）】 -&gt; 【第二步：自适应卡尔曼滤波去噪（消除潮汐海浪高频毛刺）】 -&gt; 【第三步：Wanninkhof 海气 CO2 交换动力学反演】 -&gt; 【第四步：多光谱遥感指数反演提取】 -&gt; 【第五步：国家CCER方法学资产化测算入库】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2. 核心算法代码（可截屏贴在PPT左侧）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【核心代码段 1：海-气 CO2 净吸收通量 Wanninkhof 动力学反演算法】</w:t>
      </w:r>
    </w:p>
    <w:tbl>
      <w:tblPr>
        <w:tblW w:type="pct" w:w="5000"/>
        <w:tblBorders>
          <w:top w:val="single" w:color="CBD5E1" w:sz="1"/>
          <w:left w:val="single" w:color="0891B2" w:sz="3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function calculateAirSeaFlux(windSpeed: number, sst: number, salinity: number, dpCO2: number): number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1. 计算CO2在不同水温盐度下的物理溶解度系数 S (mol/(m³·atm))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tempK = sst + 273.15;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solubility = 0.034 * Math.exp(2400 * (1 / tempK - 1 / 298.15)) * (1 - 0.005 * (salinity - 30));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2. Wanninkhof 气体传输速率计算公式 (k = 0.251 * U10^2 * (Sc/660)^(-0.5))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schmidt = 2073.1 - 125.62 * sst + 3.6276 * Math.pow(sst, 2) - 0.043219 * Math.pow(sst, 3);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k = 0.251 * Math.pow(windSpeed, 2) * Math.pow(schmidt / 660, -0.5);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3. 计算净交换通量 Flux (mmol/(m²·h))，负值代表海洋吸收大气CO2（碳汇）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flux = -1.0 * (k * solubility * dpCO2 * 0.04167);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return Number(flux.toFixed(2));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【代码技术解释】：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该算法实现了国际公认的 Wanninkhof 海-气界面碳通量交换动力学反演。第1步利用水温和盐度反演CO2在海水表层的溶解度；第2步结合海面风速与施密特数计算气体跨界面传输速度；第3步得出每小时每平方米海面的二氧化碳吸收通量。负值直观表达了“海洋汇”强力吸收大气CO2的物理过程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【核心代码段 2：CCER 蓝碳国家标准资产核算模型】</w:t>
      </w:r>
    </w:p>
    <w:tbl>
      <w:tblPr>
        <w:tblW w:type="pct" w:w="5000"/>
        <w:tblBorders>
          <w:top w:val="single" w:color="CBD5E1" w:sz="1"/>
          <w:left w:val="single" w:color="0891B2" w:sz="3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function calculateCCERAsset(station: StationData, carbonPrice: number = 78.5)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1. 生物质现存碳储量 (万吨 CO2e)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biomassSink = station.carbonTotal * 0.38;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2. 沉积物千年碳埋藏增量 = 埋藏速率 * 面积系数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sedimentBurial = (station.buoySensors.burialRate * 0.85) / 1000;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3. 微型生物碳泵 (MCP) 催化生成的惰性有机碳 (RDOC) 长期封存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rdocSink = station.carbonTotal * 0.22;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4. 汇总核算并折算 CCER 现货总估值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totalSink = station.carbonTotal;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valuationWanYuan = totalSink * 10000 * carbonPrice / 10000; // 万元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return { verifiedSink: totalSink, valuationWanYuan: valuationWanYuan.toFixed(1) };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【代码技术解释】：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该核算模型严格依据国家行业标准《海洋碳汇核算技术指南》(HY/T 0305-2021)。不仅计算肉眼可见的“生物质碳”，而且将“深层沉积物千年埋藏”和“微型生物碳泵(MCP)产出的惰性有机碳”纳入核算体系，乘以碳交易市场现货价（78.5元/吨）折算出资产总价值。</w:t>
      </w:r>
    </w:p>
    <w:p>
      <w:pPr>
        <w:pStyle w:val="Heading1"/>
        <w:spacing w:after="180" w:before="360"/>
        <w:rPr>
          <w:rFonts w:ascii="Microsoft YaHei" w:cs="Microsoft YaHei" w:eastAsia="Microsoft YaHei" w:hAnsi="Microsoft YaHei"/>
          <w:b/>
          <w:bCs/>
          <w:color w:val="0891B2"/>
          <w:sz w:val="30"/>
          <w:szCs w:val="30"/>
        </w:rPr>
      </w:pPr>
      <w:r>
        <w:t xml:space="preserve">第三部分：作品结构与全系统流转架构（对标参考PPT第4页）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在PPT上可按以下层级绘制完整的系统功能流转架构图：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【入口层】：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登录鉴权中心（角色身份选择：省海洋局核算员 / 碳资产评估师 / 院士专家团队） -&gt; 点击登录进入系统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【主驾驶舱】：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全省 WebGIS 蓝碳数字孪生大屏：</w:t>
      </w:r>
    </w:p>
    <w:p>
      <w:pPr>
        <w:spacing w:after="40" w:before="40"/>
        <w:ind w:left="800"/>
      </w:pPr>
      <w:r>
        <w:rPr>
          <w:rFonts w:ascii="Microsoft YaHei" w:cs="Microsoft YaHei" w:eastAsia="Microsoft YaHei" w:hAnsi="Microsoft YaHei"/>
          <w:b/>
          <w:bCs/>
          <w:color w:val="0284C7"/>
          <w:sz w:val="20"/>
          <w:szCs w:val="20"/>
        </w:rPr>
        <w:t xml:space="preserve">• 中心地图区：</w:t>
      </w:r>
      <w:r>
        <w:rPr>
          <w:rFonts w:ascii="Microsoft YaHei" w:cs="Microsoft YaHei" w:eastAsia="Microsoft YaHei" w:hAnsi="Microsoft YaHei"/>
          <w:color w:val="0F172A"/>
          <w:sz w:val="20"/>
          <w:szCs w:val="20"/>
        </w:rPr>
        <w:t xml:space="preserve">3345公里海岸线航标微动、洋流流向模拟、海域碳密度热力图切换、点击5大站点弹窗下钻</w:t>
      </w:r>
    </w:p>
    <w:p>
      <w:pPr>
        <w:spacing w:after="40" w:before="40"/>
        <w:ind w:left="800"/>
      </w:pPr>
      <w:r>
        <w:rPr>
          <w:rFonts w:ascii="Microsoft YaHei" w:cs="Microsoft YaHei" w:eastAsia="Microsoft YaHei" w:hAnsi="Microsoft YaHei"/>
          <w:b/>
          <w:bCs/>
          <w:color w:val="0284C7"/>
          <w:sz w:val="20"/>
          <w:szCs w:val="20"/>
        </w:rPr>
        <w:t xml:space="preserve">• 左侧生态面板：</w:t>
      </w:r>
      <w:r>
        <w:rPr>
          <w:rFonts w:ascii="Microsoft YaHei" w:cs="Microsoft YaHei" w:eastAsia="Microsoft YaHei" w:hAnsi="Microsoft YaHei"/>
          <w:color w:val="0F172A"/>
          <w:sz w:val="20"/>
          <w:szCs w:val="20"/>
        </w:rPr>
        <w:t xml:space="preserve">海气通量双轴曲线、水环境健康四象限散点矩阵、五维生境健康雷达图、生态异常预警时序流</w:t>
      </w:r>
    </w:p>
    <w:p>
      <w:pPr>
        <w:spacing w:after="40" w:before="40"/>
        <w:ind w:left="800"/>
      </w:pPr>
      <w:r>
        <w:rPr>
          <w:rFonts w:ascii="Microsoft YaHei" w:cs="Microsoft YaHei" w:eastAsia="Microsoft YaHei" w:hAnsi="Microsoft YaHei"/>
          <w:b/>
          <w:bCs/>
          <w:color w:val="0284C7"/>
          <w:sz w:val="20"/>
          <w:szCs w:val="20"/>
        </w:rPr>
        <w:t xml:space="preserve">• 右侧资产工况：</w:t>
      </w:r>
      <w:r>
        <w:rPr>
          <w:rFonts w:ascii="Microsoft YaHei" w:cs="Microsoft YaHei" w:eastAsia="Microsoft YaHei" w:hAnsi="Microsoft YaHei"/>
          <w:color w:val="0F172A"/>
          <w:sz w:val="20"/>
          <w:szCs w:val="20"/>
        </w:rPr>
        <w:t xml:space="preserve">蓝碳银行资产看板（总储量、年增量、CCER估值）、现场浮标仪表盘、三大碳库占比环形图</w:t>
      </w:r>
    </w:p>
    <w:p>
      <w:pPr>
        <w:spacing w:after="40" w:before="40"/>
        <w:ind w:left="800"/>
      </w:pPr>
      <w:r>
        <w:rPr>
          <w:rFonts w:ascii="Microsoft YaHei" w:cs="Microsoft YaHei" w:eastAsia="Microsoft YaHei" w:hAnsi="Microsoft YaHei"/>
          <w:b/>
          <w:bCs/>
          <w:color w:val="0284C7"/>
          <w:sz w:val="20"/>
          <w:szCs w:val="20"/>
        </w:rPr>
        <w:t xml:space="preserve">• 底部推演轴：</w:t>
      </w:r>
      <w:r>
        <w:rPr>
          <w:rFonts w:ascii="Microsoft YaHei" w:cs="Microsoft YaHei" w:eastAsia="Microsoft YaHei" w:hAnsi="Microsoft YaHei"/>
          <w:color w:val="0F172A"/>
          <w:sz w:val="20"/>
          <w:szCs w:val="20"/>
        </w:rPr>
        <w:t xml:space="preserve">2024~2035 年未来情景时间轴推演器（调节生态投入与干预强度，模拟碳汇走势）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【四大纵深子系统】：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顶端导航直接跳转：1.多维深度分析中心（人口与社会经济、水体理化垂向剖面、三大碳库桑基流向图、政策评价雷达）；2.CCER国家标准资产报告中心；3.蓝碳现货交易与清算模拟市场；4.AI首席海洋碳汇科学家智能处方中心。</w:t>
      </w:r>
    </w:p>
    <w:p>
      <w:pPr>
        <w:pStyle w:val="Heading1"/>
        <w:spacing w:after="180" w:before="360"/>
        <w:rPr>
          <w:rFonts w:ascii="Microsoft YaHei" w:cs="Microsoft YaHei" w:eastAsia="Microsoft YaHei" w:hAnsi="Microsoft YaHei"/>
          <w:b/>
          <w:bCs/>
          <w:color w:val="0891B2"/>
          <w:sz w:val="30"/>
          <w:szCs w:val="30"/>
        </w:rPr>
      </w:pPr>
      <w:r>
        <w:t xml:space="preserve">第四部分：主要技术与创新点（对标参考PPT第5~6页）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1. “平台 + 算法 + 硬件”三位一体主要技术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【平台层】：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React 19 + TypeScript + Tailwind CSS 构建模块化组件架构，融合 Leaflet WebGIS 数字孪生内核与原生 SVG 动效，呈现高保真“深海发光科技感”大屏。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【算法层】：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内置 Wanninkhof 海气通量动力学模型、卡尔曼滤波去噪、Sentinel-2 多光谱遥感反演算法、以及国家 CCER 蓝碳方法学核算模型。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【硬件与多源感知层】：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打通海洋原位多参数水质监测浮标（DO、pH、温盐深CTD）、涡度相关通量观测塔、以及国家卫星海洋应用中心遥感数据链路，构建“空天地海”全要素立体物联感知网络。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2. 作品三大核心创新点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创新点一：陆海统筹空间数字孪生与微观生境下钻：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突破传统单一报表大屏局限，将山东全省海岸线宏观全景与黄河口盐沼、桑沟湾海草床等 5 大微生境紧密结合，实现从全省宏观布局到微观原位传感器参数的一键式空间下钻。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创新点二：“空天地海”多源数据融合与实时通量动力学反演：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克服单一遥感存在云层遮挡、单一浮标代表性不足的问题，将高光谱遥感面数据与海洋浮标点时序数据实时融合，实现海-气碳吸收通量近实时高精度反演。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创新点三：由“物理监测”到“CCER资产化核算与交易”全链条闭环：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跳出传统“只报水质、只测水温”的单一工具思维，深度打通自然资源部《海洋碳汇核算技术指南》与国家 CCER 自愿减排交易体系，实现“监测 ➔ 反演 ➔ 核算 ➔ 报表 ➔ 交易”的完整数字产业闭环。</w:t>
      </w:r>
    </w:p>
    <w:p>
      <w:pPr>
        <w:pStyle w:val="Heading1"/>
        <w:spacing w:after="180" w:before="360"/>
        <w:rPr>
          <w:rFonts w:ascii="Microsoft YaHei" w:cs="Microsoft YaHei" w:eastAsia="Microsoft YaHei" w:hAnsi="Microsoft YaHei"/>
          <w:b/>
          <w:bCs/>
          <w:color w:val="0891B2"/>
          <w:sz w:val="30"/>
          <w:szCs w:val="30"/>
        </w:rPr>
      </w:pPr>
      <w:r>
        <w:t xml:space="preserve">第五部分：各界面与核心图表全景解构手册（放什么图、怎么算的、代表含义）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172A"/>
          <w:sz w:val="21"/>
          <w:szCs w:val="21"/>
        </w:rPr>
        <w:t xml:space="preserve">这部分是答辩评委最关心的重点，以下列出各图表在PPT中应截取的图与具体计算讲解：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1：海-气 CO2 净吸收通量与潮汐水位双轴动态曲线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主驾驶舱左侧生态面板最上方（折线/面积混合图）。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结合风速仪、海表温SST与水下二氧化碳分压差ΔpCO2，通过 Wanninkhof 动力学公式逐小时计算：Flux = -k * S * ΔpCO2。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数值为负代表海洋强吸收（汇）。直观呈现“白天强光合作用 + 高潮位推动”下的吸碳波峰，中午 12:00 吸收速率达到峰值 (-9.2 mmol/(m²·h))。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2：水环境健康四象限散点矩阵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多维分析中心 -&gt; “陆海统筹水质生态与脆弱性”模块。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横轴为实用盐度(PSU)，纵轴为溶解氧DO(mg/L)，气泡半径对应沉积物碳埋藏速率(g C/(m²·a))，颜色代表水温。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第一象限（右上）为“高氧高盐高碳汇最优区”（威海桑沟湾），第四象限（右下）为“河口高沙快速埋藏区”（东营黄河口），揭示全省水质环境对碳封存的生态约束。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3：全周期三大蓝碳库桑基流向图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多维分析中心 -&gt; “全省蓝碳流向与资产桑基图”模块。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依据 IPCC 蓝碳质量守恒方程计算：大气CO2输入 (100%) ➔ 光合捕获 (64%) + 微藻吸收 (36%) ➔ 地上生物量固存 (38%) + 沉积物千年深埋 (42%) + 渔业收获输出 (20%)。节点流量严格守恒。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形象证明海洋吸收的碳不仅在植物体内，更有 42% 永久深埋于海底沉积物中，构成长效稳定的国家战略碳库。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4：海水垂直剖面水体理化指标热力图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多维分析中心 -&gt; “生物固碳与贝藻渔业协同”垂直剖面图。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由投弃式温盐深传感器(CTD)实测剖面数据，结合光照指数衰减公式计算 0~30 米深度的水温、溶解氧与碳酸盐化学平衡垂向分布。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展示深海立体感知能力，验证贝藻立体养殖（上层海带光合吸碳、下层贝类钙化壳固碳）的多营养层次生态碳汇优势。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5：蓝碳资产看板与 CCER 银行总估值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主驾驶舱右侧面板顶部。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总碳汇储量 = 盐沼 + 海草床 + 贝藻养殖；CCER 总估值 = 碳汇总量 (万吨) * 10000 * 实时碳价 (78.5元/吨)。例如全省 384.62 万吨 = 30,192 万元（约 3.02 亿元）。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将科学家的监测数据即时折算为可流转的绿色金融资产，为政府部门和金融机构提供权威决策支撑。</w:t>
      </w:r>
    </w:p>
    <w:p>
      <w:pPr>
        <w:pStyle w:val="Heading2"/>
        <w:spacing w:after="140" w:before="260"/>
        <w:rPr>
          <w:rFonts w:ascii="Microsoft YaHei" w:cs="Microsoft YaHei" w:eastAsia="Microsoft YaHei" w:hAnsi="Microsoft YaHei"/>
          <w:b/>
          <w:bCs/>
          <w:color w:val="0369A1"/>
          <w:sz w:val="24"/>
          <w:szCs w:val="24"/>
        </w:rPr>
      </w:pPr>
      <w:r>
        <w:t xml:space="preserve">图表 6：碳资产交易大盘行情与撮合盘口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截图位置：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顶部导航点击“碳资产交易大盘”进入的独立大屏。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怎么算的：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模拟全国碳市场（北京绿交所）现货竞价机制。以 78.50 元/吨为基准价，结合沿海控排企业（电厂、钢厂）的配额清缴缺口与蓝碳供应量，计算买一/卖一深度和 K 线走势。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color w:val="0891B2"/>
          <w:sz w:val="21"/>
          <w:szCs w:val="21"/>
        </w:rPr>
        <w:t xml:space="preserve">◆ 代表含义：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展示蓝碳生态价值变现的真实应用场景，实现从生态保护到碳汇变现的完整商业闭环。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2026-10-09T10:56:35.681Z</dcterms:created>
  <dcterms:modified xsi:type="dcterms:W3CDTF">2026-10-09T10:56:35.681Z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