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/>
        <w:jc w:val="left"/>
      </w:pPr>
      <w:r>
        <w:rPr>
          <w:rFonts w:ascii="Montserrat" w:hAnsi="Montserrat"/>
          <w:b w:val="true"/>
          <w:bCs w:val="true"/>
          <w:sz w:val="36"/>
          <w:szCs w:val="36"/>
        </w:rPr>
        <w:t>Gedächtnis und Merkfähigkeit</w:t>
      </w:r>
    </w:p>
    <w:p>
      <w:pPr>
        <w:spacing w:before="0" w:after="120"/>
      </w:pPr>
      <w:r>
        <w:rPr>
          <w:rFonts w:ascii="Montserrat" w:hAnsi="Montserrat"/>
          <w:b w:val="true"/>
          <w:bCs w:val="true"/>
          <w:sz w:val="28"/>
          <w:szCs w:val="28"/>
        </w:rPr>
        <w:t>Abrufphase</w:t>
      </w:r>
    </w:p>
    <w:p>
      <w:pPr>
        <w:spacing w:before="120" w:after="360" w:line="276" w:lineRule="auto"/>
        <w:jc w:val="left"/>
      </w:pPr>
      <w:r>
        <w:rPr>
          <w:rFonts w:ascii="Montserrat" w:hAnsi="Montserrat"/>
          <w:b w:val="true"/>
          <w:bCs w:val="true"/>
          <w:sz w:val="22"/>
          <w:szCs w:val="22"/>
        </w:rPr>
        <w:t>Bearbeitungszeit für 25 Aufgaben: 15 Minuten</w:t>
      </w:r>
    </w:p>
    <w:tbl>
      <w:tblPr>
        <w:tblW w:w="5000" w:type="pct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</w:tblPr>
      <w:tr>
        <w:tc>
          <w:tcPr>
            <w:tcW w:w="5000" w:type="pct"/>
          </w:tcPr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In diesem Untertest wird überprüft, ob sie sich die Informationen der vorher gezeigten Allergieausweise der einzelnen Personen einprägen konnten. Bitte beantworten Sie die folgenden Fragen zu den Allergieausweisen.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Die Aufgaben sind im Single-Choice Format gestellt und jeweils nur der gegebenen Antwortmöglichkeiten A) bis E) ist korrekt.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Bitte markieren Sie für jede Aufgabe die korrekte Antwort in Ihrem Antwortbogen, da ausschließlich Auswertung Ihrer Ergebnisse herangezogen wird.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Das Zurückblättern zum vorherigen Untertest, sowie das selbstständige Weiterblättern zum nächsten Untertest ist nicht erlaubt.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Sie dürfen mit der Bearbeitung der Aufgaben erst beginnen, wenn der Testleiter den Untertest freigegeben hat!</w:t>
            </w:r>
          </w:p>
        </w:tc>
      </w:tr>
    </w:tbl>
    <w:p>
      <w:pPr>
        <w:spacing w:before="200" w:after="200" w:line="276" w:lineRule="auto"/>
        <w:jc w:val="left"/>
      </w:pPr>
      <w:r>
        <w:rPr>
          <w:rFonts w:ascii="Aptos" w:hAnsi="Aptos"/>
          <w:b w:val="true"/>
          <w:bCs w:val="true"/>
          <w:sz w:val="22"/>
          <w:szCs w:val="22"/>
        </w:rPr>
        <w:t>Beispielaufgabe:</w:t>
      </w:r>
    </w:p>
    <w:p>
      <w:pPr>
        <w:spacing w:before="200" w:after="200" w:line="276" w:lineRule="auto"/>
        <w:jc w:val="left"/>
      </w:pPr>
      <w:r>
        <w:rPr>
          <w:rFonts w:ascii="Aptos" w:hAnsi="Aptos"/>
          <w:sz w:val="22"/>
          <w:szCs w:val="22"/>
        </w:rPr>
        <w:t>Welche Blutgruppe hat die Person mit der Ausweisnummer 32452?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A) A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B) AB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C) 0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D) B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E) Keine der Antworten ist richtig.</w:t>
      </w:r>
    </w:p>
    <w:p>
      <w:pPr>
        <w:spacing w:before="120" w:after="120"/>
        <w:jc w:val="left"/>
      </w:pPr>
      <w:r>
        <w:rPr>
          <w:rFonts w:ascii="Aptos" w:hAnsi="Aptos"/>
          <w:sz w:val="22"/>
          <w:szCs w:val="22"/>
        </w:rPr>
        <w:t>Lösung: D) B</w:t>
      </w:r>
    </w:p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