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440"/>
      </w:pPr>
      <w:r>
        <w:t xml:space="preserve"/>
      </w:r>
    </w:p>
    <w:p>
      <w:pPr>
        <w:spacing w:after="120" w:before="480"/>
        <w:jc w:val="center"/>
      </w:pPr>
      <w:r>
        <w:rPr>
          <w:rFonts w:ascii="Arial" w:cs="Arial" w:eastAsia="Arial" w:hAnsi="Arial"/>
          <w:b/>
          <w:bCs/>
          <w:color w:val="1F4E79"/>
          <w:sz w:val="56"/>
          <w:szCs w:val="56"/>
        </w:rPr>
        <w:t xml:space="preserve">NEH Hospital</w:t>
      </w:r>
    </w:p>
    <w:p>
      <w:pPr>
        <w:spacing w:after="120" w:before="0"/>
        <w:jc w:val="center"/>
      </w:pPr>
      <w:r>
        <w:rPr>
          <w:rFonts w:ascii="Arial" w:cs="Arial" w:eastAsia="Arial" w:hAnsi="Arial"/>
          <w:b/>
          <w:bCs/>
          <w:color w:val="2E75B6"/>
          <w:sz w:val="40"/>
          <w:szCs w:val="40"/>
        </w:rPr>
        <w:t xml:space="preserve">Identity and Access Management Lab</w:t>
      </w:r>
    </w:p>
    <w:p>
      <w:pPr>
        <w:spacing w:after="480" w:before="0"/>
        <w:jc w:val="center"/>
      </w:pPr>
      <w:r>
        <w:rPr>
          <w:rFonts w:ascii="Arial" w:cs="Arial" w:eastAsia="Arial" w:hAnsi="Arial"/>
          <w:color w:val="404040"/>
          <w:sz w:val="28"/>
          <w:szCs w:val="28"/>
        </w:rPr>
        <w:t xml:space="preserve">Full Technical Documentation</w:t>
      </w:r>
    </w:p>
    <w:p>
      <w:pPr>
        <w:pBdr>
          <w:bottom w:val="single" w:color="2E75B6" w:sz="6" w:space="1"/>
        </w:pBdr>
        <w:spacing w:after="480" w:before="0"/>
        <w:jc w:val="center"/>
      </w:pPr>
      <w:r>
        <w:t xml:space="preserve"/>
      </w:r>
    </w:p>
    <w:p>
      <w:pPr>
        <w:spacing w:after="80" w:before="240"/>
        <w:jc w:val="center"/>
      </w:pPr>
      <w:r>
        <w:rPr>
          <w:rFonts w:ascii="Arial" w:cs="Arial" w:eastAsia="Arial" w:hAnsi="Arial"/>
          <w:color w:val="606060"/>
          <w:sz w:val="20"/>
          <w:szCs w:val="20"/>
        </w:rPr>
        <w:t xml:space="preserve">Platform: Windows Server 2016 + Microsoft Entra ID P2</w:t>
      </w:r>
    </w:p>
    <w:p>
      <w:pPr>
        <w:spacing w:after="80" w:before="0"/>
        <w:jc w:val="center"/>
      </w:pPr>
      <w:r>
        <w:rPr>
          <w:rFonts w:ascii="Arial" w:cs="Arial" w:eastAsia="Arial" w:hAnsi="Arial"/>
          <w:color w:val="606060"/>
          <w:sz w:val="20"/>
          <w:szCs w:val="20"/>
        </w:rPr>
        <w:t xml:space="preserve">Domain: NEH.local</w:t>
      </w:r>
    </w:p>
    <w:p>
      <w:pPr>
        <w:spacing w:after="80" w:before="0"/>
        <w:jc w:val="center"/>
      </w:pPr>
      <w:r>
        <w:rPr>
          <w:rFonts w:ascii="Arial" w:cs="Arial" w:eastAsia="Arial" w:hAnsi="Arial"/>
          <w:color w:val="606060"/>
          <w:sz w:val="20"/>
          <w:szCs w:val="20"/>
        </w:rPr>
        <w:t xml:space="preserve">Compliance: HIPAA | NIST SP 800-63 | Zero Trust</w:t>
      </w:r>
    </w:p>
    <w:p>
      <w:pPr>
        <w:spacing w:after="80" w:before="0"/>
        <w:jc w:val="center"/>
      </w:pPr>
      <w:r>
        <w:rPr>
          <w:rFonts w:ascii="Arial" w:cs="Arial" w:eastAsia="Arial" w:hAnsi="Arial"/>
          <w:color w:val="606060"/>
          <w:sz w:val="20"/>
          <w:szCs w:val="20"/>
        </w:rPr>
        <w:t xml:space="preserve">Environment: VirtualBox | Windows Server 2016 | Windows 11</w:t>
      </w:r>
    </w:p>
    <w:p>
      <w:r>
        <w:br w:type="page"/>
      </w:r>
    </w:p>
    <w:p>
      <w:pPr>
        <w:pStyle w:val="Heading1"/>
        <w:spacing w:after="120" w:before="360"/>
      </w:pPr>
      <w:r>
        <w:rPr>
          <w:rFonts w:ascii="Arial" w:cs="Arial" w:eastAsia="Arial" w:hAnsi="Arial"/>
          <w:b/>
          <w:bCs/>
          <w:color w:val="1F4E79"/>
          <w:sz w:val="32"/>
          <w:szCs w:val="32"/>
        </w:rPr>
        <w:t xml:space="preserve">Executive Summary</w:t>
      </w:r>
    </w:p>
    <w:p>
      <w:pPr>
        <w:spacing w:after="60" w:before="60"/>
      </w:pPr>
      <w:r>
        <w:rPr>
          <w:rFonts w:ascii="Arial" w:cs="Arial" w:eastAsia="Arial" w:hAnsi="Arial"/>
          <w:sz w:val="20"/>
          <w:szCs w:val="20"/>
        </w:rPr>
        <w:t xml:space="preserve">This document describes the design, implementation, and configuration of a complete enterprise Identity and Access Management (IAM) environment built for NEH Hospital. The lab simulates a real-world healthcare IAM deployment aligned to HIPAA Security Rule requirements, NIST SP 800-63 identity standards, and Zero Trust architecture principles.</w:t>
      </w:r>
    </w:p>
    <w:p>
      <w:pPr>
        <w:spacing w:after="80" w:before="80"/>
      </w:pPr>
      <w:r>
        <w:t xml:space="preserve"/>
      </w:r>
    </w:p>
    <w:p>
      <w:pPr>
        <w:spacing w:after="60" w:before="60"/>
      </w:pPr>
      <w:r>
        <w:rPr>
          <w:rFonts w:ascii="Arial" w:cs="Arial" w:eastAsia="Arial" w:hAnsi="Arial"/>
          <w:sz w:val="20"/>
          <w:szCs w:val="20"/>
        </w:rPr>
        <w:t xml:space="preserve">The environment covers the full IAM lifecycle including identity provisioning, role-based access control, group policy enforcement, privileged access management, conditional access, and access certification reviews.</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Component</w:t>
            </w:r>
          </w:p>
        </w:tc>
        <w:tc>
          <w:tcPr>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Technology Used</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On-Premises Directory</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Windows Server 2016 Active Directory</w:t>
            </w:r>
          </w:p>
        </w:tc>
      </w:tr>
      <w:tr>
        <w:tc>
          <w:tcPr>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8"/>
                <w:szCs w:val="18"/>
              </w:rPr>
              <w:t xml:space="preserve">Cloud Identity</w:t>
            </w:r>
          </w:p>
        </w:tc>
        <w:tc>
          <w:tcPr>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8"/>
                <w:szCs w:val="18"/>
              </w:rPr>
              <w:t xml:space="preserve">Microsoft Entra ID (Azure AD) P2</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Hybrid Sync</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Microsoft Entra Connect</w:t>
            </w:r>
          </w:p>
        </w:tc>
      </w:tr>
      <w:tr>
        <w:tc>
          <w:tcPr>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8"/>
                <w:szCs w:val="18"/>
              </w:rPr>
              <w:t xml:space="preserve">Workstation</w:t>
            </w:r>
          </w:p>
        </w:tc>
        <w:tc>
          <w:tcPr>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8"/>
                <w:szCs w:val="18"/>
              </w:rPr>
              <w:t xml:space="preserve">Windows 11 (VirtualBox VM)</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Policy Enforcement</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Group Policy Objects (GPOs)</w:t>
            </w:r>
          </w:p>
        </w:tc>
      </w:tr>
      <w:tr>
        <w:tc>
          <w:tcPr>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8"/>
                <w:szCs w:val="18"/>
              </w:rPr>
              <w:t xml:space="preserve">Privileged Access</w:t>
            </w:r>
          </w:p>
        </w:tc>
        <w:tc>
          <w:tcPr>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8"/>
                <w:szCs w:val="18"/>
              </w:rPr>
              <w:t xml:space="preserve">Privileged Identity Management (PIM)</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Access Control</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Conditional Access Policies</w:t>
            </w:r>
          </w:p>
        </w:tc>
      </w:tr>
      <w:tr>
        <w:tc>
          <w:tcPr>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8"/>
                <w:szCs w:val="18"/>
              </w:rPr>
              <w:t xml:space="preserve">Risk Management</w:t>
            </w:r>
          </w:p>
        </w:tc>
        <w:tc>
          <w:tcPr>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8"/>
                <w:szCs w:val="18"/>
              </w:rPr>
              <w:t xml:space="preserve">Identity Protection</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Access Certification</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Entra ID Access Reviews</w:t>
            </w:r>
          </w:p>
        </w:tc>
      </w:tr>
      <w:tr>
        <w:tc>
          <w:tcPr>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8"/>
                <w:szCs w:val="18"/>
              </w:rPr>
              <w:t xml:space="preserve">Compliance Framework</w:t>
            </w:r>
          </w:p>
        </w:tc>
        <w:tc>
          <w:tcPr>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8"/>
                <w:szCs w:val="18"/>
              </w:rPr>
              <w:t xml:space="preserve">HIPAA | NIST 800-63 | Zero Trust</w:t>
            </w:r>
          </w:p>
        </w:tc>
      </w:tr>
    </w:tbl>
    <w:p>
      <w:r>
        <w:br w:type="page"/>
      </w:r>
    </w:p>
    <w:p>
      <w:pPr>
        <w:pStyle w:val="Heading1"/>
        <w:spacing w:after="120" w:before="360"/>
      </w:pPr>
      <w:r>
        <w:rPr>
          <w:rFonts w:ascii="Arial" w:cs="Arial" w:eastAsia="Arial" w:hAnsi="Arial"/>
          <w:b/>
          <w:bCs/>
          <w:color w:val="1F4E79"/>
          <w:sz w:val="32"/>
          <w:szCs w:val="32"/>
        </w:rPr>
        <w:t xml:space="preserve">Lab Architecture</w:t>
      </w:r>
    </w:p>
    <w:p>
      <w:pPr>
        <w:pStyle w:val="Heading2"/>
        <w:spacing w:after="80" w:before="240"/>
      </w:pPr>
      <w:r>
        <w:rPr>
          <w:rFonts w:ascii="Arial" w:cs="Arial" w:eastAsia="Arial" w:hAnsi="Arial"/>
          <w:b/>
          <w:bCs/>
          <w:color w:val="2E75B6"/>
          <w:sz w:val="26"/>
          <w:szCs w:val="26"/>
        </w:rPr>
        <w:t xml:space="preserve">Environment Overview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Component</w:t>
            </w:r>
          </w:p>
        </w:tc>
        <w:tc>
          <w:tcPr>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Details</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Server Hostname</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NEH01</w:t>
            </w:r>
          </w:p>
        </w:tc>
      </w:tr>
      <w:tr>
        <w:tc>
          <w:tcPr>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8"/>
                <w:szCs w:val="18"/>
              </w:rPr>
              <w:t xml:space="preserve">Domain Name</w:t>
            </w:r>
          </w:p>
        </w:tc>
        <w:tc>
          <w:tcPr>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8"/>
                <w:szCs w:val="18"/>
              </w:rPr>
              <w:t xml:space="preserve">NEH.local</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Server IP</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192.168.1.x (static)</w:t>
            </w:r>
          </w:p>
        </w:tc>
      </w:tr>
      <w:tr>
        <w:tc>
          <w:tcPr>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8"/>
                <w:szCs w:val="18"/>
              </w:rPr>
              <w:t xml:space="preserve">Operating System</w:t>
            </w:r>
          </w:p>
        </w:tc>
        <w:tc>
          <w:tcPr>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8"/>
                <w:szCs w:val="18"/>
              </w:rPr>
              <w:t xml:space="preserve">Windows Server 2016</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Workstation OS</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Windows 11</w:t>
            </w:r>
          </w:p>
        </w:tc>
      </w:tr>
      <w:tr>
        <w:tc>
          <w:tcPr>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8"/>
                <w:szCs w:val="18"/>
              </w:rPr>
              <w:t xml:space="preserve">Network Type</w:t>
            </w:r>
          </w:p>
        </w:tc>
        <w:tc>
          <w:tcPr>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8"/>
                <w:szCs w:val="18"/>
              </w:rPr>
              <w:t xml:space="preserve">VirtualBox Bridged Adapter</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Entra ID Tenant</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*.onmicrosoft.com</w:t>
            </w:r>
          </w:p>
        </w:tc>
      </w:tr>
      <w:tr>
        <w:tc>
          <w:tcPr>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8"/>
                <w:szCs w:val="18"/>
              </w:rPr>
              <w:t xml:space="preserve">Entra ID License</w:t>
            </w:r>
          </w:p>
        </w:tc>
        <w:tc>
          <w:tcPr>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8"/>
                <w:szCs w:val="18"/>
              </w:rPr>
              <w:t xml:space="preserve">P2 (PIM, Identity Protection, Access Reviews)</w:t>
            </w:r>
          </w:p>
        </w:tc>
      </w:tr>
    </w:tbl>
    <w:p>
      <w:pPr>
        <w:spacing w:after="80" w:before="80"/>
      </w:pPr>
      <w:r>
        <w:t xml:space="preserve"/>
      </w:r>
    </w:p>
    <w:p>
      <w:pPr>
        <w:pStyle w:val="Heading2"/>
        <w:spacing w:after="80" w:before="240"/>
      </w:pPr>
      <w:r>
        <w:rPr>
          <w:rFonts w:ascii="Arial" w:cs="Arial" w:eastAsia="Arial" w:hAnsi="Arial"/>
          <w:b/>
          <w:bCs/>
          <w:color w:val="2E75B6"/>
          <w:sz w:val="26"/>
          <w:szCs w:val="26"/>
        </w:rPr>
        <w:t xml:space="preserve">Compliance Alignment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Standard</w:t>
            </w:r>
          </w:p>
        </w:tc>
        <w:tc>
          <w:tcPr>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How Lab Addresses It</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HIPAA - Unique User ID</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Every staff member has a unique AD account, no shared logins</w:t>
            </w:r>
          </w:p>
        </w:tc>
      </w:tr>
      <w:tr>
        <w:tc>
          <w:tcPr>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8"/>
                <w:szCs w:val="18"/>
              </w:rPr>
              <w:t xml:space="preserve">HIPAA - Minimum Necessary</w:t>
            </w:r>
          </w:p>
        </w:tc>
        <w:tc>
          <w:tcPr>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8"/>
                <w:szCs w:val="18"/>
              </w:rPr>
              <w:t xml:space="preserve">RBAC via security groups, least privilege per role</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HIPAA - Audit Controls</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Audit logging GPO on all OUs, Entra ID sign-in logs</w:t>
            </w:r>
          </w:p>
        </w:tc>
      </w:tr>
      <w:tr>
        <w:tc>
          <w:tcPr>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8"/>
                <w:szCs w:val="18"/>
              </w:rPr>
              <w:t xml:space="preserve">HIPAA - Automatic Logoff</w:t>
            </w:r>
          </w:p>
        </w:tc>
        <w:tc>
          <w:tcPr>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8"/>
                <w:szCs w:val="18"/>
              </w:rPr>
              <w:t xml:space="preserve">Screensaver timeout GPOs on all workstations</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HIPAA - Access Termination</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Disabled OU, account expiry for contractors/vendors</w:t>
            </w:r>
          </w:p>
        </w:tc>
      </w:tr>
      <w:tr>
        <w:tc>
          <w:tcPr>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8"/>
                <w:szCs w:val="18"/>
              </w:rPr>
              <w:t xml:space="preserve">NIST 800-63</w:t>
            </w:r>
          </w:p>
        </w:tc>
        <w:tc>
          <w:tcPr>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8"/>
                <w:szCs w:val="18"/>
              </w:rPr>
              <w:t xml:space="preserve">12-character minimum password, MFA enforcement</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Zero Trust</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PIM no standing access, Conditional Access always verify</w:t>
            </w:r>
          </w:p>
        </w:tc>
      </w:tr>
      <w:tr>
        <w:tc>
          <w:tcPr>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8"/>
                <w:szCs w:val="18"/>
              </w:rPr>
              <w:t xml:space="preserve">CIS Controls</w:t>
            </w:r>
          </w:p>
        </w:tc>
        <w:tc>
          <w:tcPr>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8"/>
                <w:szCs w:val="18"/>
              </w:rPr>
              <w:t xml:space="preserve">GPO restrictions, USB blocking, application control</w:t>
            </w:r>
          </w:p>
        </w:tc>
      </w:tr>
    </w:tbl>
    <w:p>
      <w:r>
        <w:br w:type="page"/>
      </w:r>
    </w:p>
    <w:p>
      <w:pPr>
        <w:pStyle w:val="Heading1"/>
        <w:spacing w:after="120" w:before="360"/>
      </w:pPr>
      <w:r>
        <w:rPr>
          <w:rFonts w:ascii="Arial" w:cs="Arial" w:eastAsia="Arial" w:hAnsi="Arial"/>
          <w:b/>
          <w:bCs/>
          <w:color w:val="1F4E79"/>
          <w:sz w:val="32"/>
          <w:szCs w:val="32"/>
        </w:rPr>
        <w:t xml:space="preserve">Active Directory OU Structure</w:t>
      </w:r>
    </w:p>
    <w:p>
      <w:pPr>
        <w:pStyle w:val="Heading2"/>
        <w:spacing w:after="80" w:before="240"/>
      </w:pPr>
      <w:r>
        <w:rPr>
          <w:rFonts w:ascii="Arial" w:cs="Arial" w:eastAsia="Arial" w:hAnsi="Arial"/>
          <w:b/>
          <w:bCs/>
          <w:color w:val="2E75B6"/>
          <w:sz w:val="26"/>
          <w:szCs w:val="26"/>
        </w:rPr>
        <w:t xml:space="preserve">Design Principles</w:t>
      </w:r>
    </w:p>
    <w:p>
      <w:pPr>
        <w:pStyle w:val="ListParagraph"/>
        <w:numPr>
          <w:ilvl w:val="0"/>
          <w:numId w:val="2"/>
        </w:numPr>
        <w:spacing w:after="40" w:before="40"/>
      </w:pPr>
      <w:r>
        <w:rPr>
          <w:rFonts w:ascii="Arial" w:cs="Arial" w:eastAsia="Arial" w:hAnsi="Arial"/>
          <w:sz w:val="20"/>
          <w:szCs w:val="20"/>
        </w:rPr>
        <w:t xml:space="preserve">OUs organize where accounts live and where GPOs apply</w:t>
      </w:r>
    </w:p>
    <w:p>
      <w:pPr>
        <w:pStyle w:val="ListParagraph"/>
        <w:numPr>
          <w:ilvl w:val="0"/>
          <w:numId w:val="2"/>
        </w:numPr>
        <w:spacing w:after="40" w:before="40"/>
      </w:pPr>
      <w:r>
        <w:rPr>
          <w:rFonts w:ascii="Arial" w:cs="Arial" w:eastAsia="Arial" w:hAnsi="Arial"/>
          <w:sz w:val="20"/>
          <w:szCs w:val="20"/>
        </w:rPr>
        <w:t xml:space="preserve">Security Groups control what resources users can access</w:t>
      </w:r>
    </w:p>
    <w:p>
      <w:pPr>
        <w:pStyle w:val="ListParagraph"/>
        <w:numPr>
          <w:ilvl w:val="0"/>
          <w:numId w:val="2"/>
        </w:numPr>
        <w:spacing w:after="40" w:before="40"/>
      </w:pPr>
      <w:r>
        <w:rPr>
          <w:rFonts w:ascii="Arial" w:cs="Arial" w:eastAsia="Arial" w:hAnsi="Arial"/>
          <w:sz w:val="20"/>
          <w:szCs w:val="20"/>
        </w:rPr>
        <w:t xml:space="preserve">Disabled OU at top level catches terminated accounts from any department</w:t>
      </w:r>
    </w:p>
    <w:p>
      <w:pPr>
        <w:pStyle w:val="ListParagraph"/>
        <w:numPr>
          <w:ilvl w:val="0"/>
          <w:numId w:val="2"/>
        </w:numPr>
        <w:spacing w:after="40" w:before="40"/>
      </w:pPr>
      <w:r>
        <w:rPr>
          <w:rFonts w:ascii="Arial" w:cs="Arial" w:eastAsia="Arial" w:hAnsi="Arial"/>
          <w:sz w:val="20"/>
          <w:szCs w:val="20"/>
        </w:rPr>
        <w:t xml:space="preserve">Workstations OU separate from user OUs for computer GPO targeting</w:t>
      </w:r>
    </w:p>
    <w:p>
      <w:pPr>
        <w:pStyle w:val="ListParagraph"/>
        <w:numPr>
          <w:ilvl w:val="0"/>
          <w:numId w:val="2"/>
        </w:numPr>
        <w:spacing w:after="40" w:before="40"/>
      </w:pPr>
      <w:r>
        <w:rPr>
          <w:rFonts w:ascii="Arial" w:cs="Arial" w:eastAsia="Arial" w:hAnsi="Arial"/>
          <w:sz w:val="20"/>
          <w:szCs w:val="20"/>
        </w:rPr>
        <w:t xml:space="preserve">All human accounts live inside NEH-Users regardless of department</w:t>
      </w:r>
    </w:p>
    <w:p>
      <w:pPr>
        <w:spacing w:after="80" w:before="80"/>
      </w:pPr>
      <w:r>
        <w:t xml:space="preserve"/>
      </w:r>
    </w:p>
    <w:p>
      <w:pPr>
        <w:pStyle w:val="Heading2"/>
        <w:spacing w:after="80" w:before="240"/>
      </w:pPr>
      <w:r>
        <w:rPr>
          <w:rFonts w:ascii="Arial" w:cs="Arial" w:eastAsia="Arial" w:hAnsi="Arial"/>
          <w:b/>
          <w:bCs/>
          <w:color w:val="2E75B6"/>
          <w:sz w:val="26"/>
          <w:szCs w:val="26"/>
        </w:rPr>
        <w:t xml:space="preserve">Full OU Hierarchy</w:t>
      </w:r>
    </w:p>
    <w:p>
      <w:pPr>
        <w:shd w:fill="F2F2F2" w:val="clear"/>
        <w:spacing w:after="60" w:before="60"/>
        <w:ind w:left="360"/>
      </w:pPr>
      <w:r>
        <w:rPr>
          <w:rFonts w:ascii="Courier New" w:cs="Courier New" w:eastAsia="Courier New" w:hAnsi="Courier New"/>
          <w:color w:val="C00000"/>
          <w:sz w:val="18"/>
          <w:szCs w:val="18"/>
        </w:rPr>
        <w:t xml:space="preserve">NEH.local</w:t>
      </w:r>
    </w:p>
    <w:p>
      <w:pPr>
        <w:shd w:fill="F2F2F2" w:val="clear"/>
        <w:spacing w:after="60" w:before="60"/>
        <w:ind w:left="360"/>
      </w:pPr>
      <w:r>
        <w:rPr>
          <w:rFonts w:ascii="Courier New" w:cs="Courier New" w:eastAsia="Courier New" w:hAnsi="Courier New"/>
          <w:color w:val="C00000"/>
          <w:sz w:val="18"/>
          <w:szCs w:val="18"/>
        </w:rPr>
        <w:t xml:space="preserve">├── OU=NEH-Users</w:t>
      </w:r>
    </w:p>
    <w:p>
      <w:pPr>
        <w:shd w:fill="F2F2F2" w:val="clear"/>
        <w:spacing w:after="60" w:before="60"/>
        <w:ind w:left="360"/>
      </w:pPr>
      <w:r>
        <w:rPr>
          <w:rFonts w:ascii="Courier New" w:cs="Courier New" w:eastAsia="Courier New" w:hAnsi="Courier New"/>
          <w:color w:val="C00000"/>
          <w:sz w:val="18"/>
          <w:szCs w:val="18"/>
        </w:rPr>
        <w:t xml:space="preserve">│   ├── OU=NEH-IT</w:t>
      </w:r>
    </w:p>
    <w:p>
      <w:pPr>
        <w:shd w:fill="F2F2F2" w:val="clear"/>
        <w:spacing w:after="60" w:before="60"/>
        <w:ind w:left="360"/>
      </w:pPr>
      <w:r>
        <w:rPr>
          <w:rFonts w:ascii="Courier New" w:cs="Courier New" w:eastAsia="Courier New" w:hAnsi="Courier New"/>
          <w:color w:val="C00000"/>
          <w:sz w:val="18"/>
          <w:szCs w:val="18"/>
        </w:rPr>
        <w:t xml:space="preserve">│   │   ├── OU=NEH-IT-Support</w:t>
      </w:r>
    </w:p>
    <w:p>
      <w:pPr>
        <w:shd w:fill="F2F2F2" w:val="clear"/>
        <w:spacing w:after="60" w:before="60"/>
        <w:ind w:left="360"/>
      </w:pPr>
      <w:r>
        <w:rPr>
          <w:rFonts w:ascii="Courier New" w:cs="Courier New" w:eastAsia="Courier New" w:hAnsi="Courier New"/>
          <w:color w:val="C00000"/>
          <w:sz w:val="18"/>
          <w:szCs w:val="18"/>
        </w:rPr>
        <w:t xml:space="preserve">│   │   ├── OU=NEH-IT-Admins</w:t>
      </w:r>
    </w:p>
    <w:p>
      <w:pPr>
        <w:shd w:fill="F2F2F2" w:val="clear"/>
        <w:spacing w:after="60" w:before="60"/>
        <w:ind w:left="360"/>
      </w:pPr>
      <w:r>
        <w:rPr>
          <w:rFonts w:ascii="Courier New" w:cs="Courier New" w:eastAsia="Courier New" w:hAnsi="Courier New"/>
          <w:color w:val="C00000"/>
          <w:sz w:val="18"/>
          <w:szCs w:val="18"/>
        </w:rPr>
        <w:t xml:space="preserve">│   │   ├── OU=NEH-IT-Server-Admins</w:t>
      </w:r>
    </w:p>
    <w:p>
      <w:pPr>
        <w:shd w:fill="F2F2F2" w:val="clear"/>
        <w:spacing w:after="60" w:before="60"/>
        <w:ind w:left="360"/>
      </w:pPr>
      <w:r>
        <w:rPr>
          <w:rFonts w:ascii="Courier New" w:cs="Courier New" w:eastAsia="Courier New" w:hAnsi="Courier New"/>
          <w:color w:val="C00000"/>
          <w:sz w:val="18"/>
          <w:szCs w:val="18"/>
        </w:rPr>
        <w:t xml:space="preserve">│   │   └── OU=NEH-IT-Network</w:t>
      </w:r>
    </w:p>
    <w:p>
      <w:pPr>
        <w:shd w:fill="F2F2F2" w:val="clear"/>
        <w:spacing w:after="60" w:before="60"/>
        <w:ind w:left="360"/>
      </w:pPr>
      <w:r>
        <w:rPr>
          <w:rFonts w:ascii="Courier New" w:cs="Courier New" w:eastAsia="Courier New" w:hAnsi="Courier New"/>
          <w:color w:val="C00000"/>
          <w:sz w:val="18"/>
          <w:szCs w:val="18"/>
        </w:rPr>
        <w:t xml:space="preserve">│   ├── OU=Clinical</w:t>
      </w:r>
    </w:p>
    <w:p>
      <w:pPr>
        <w:shd w:fill="F2F2F2" w:val="clear"/>
        <w:spacing w:after="60" w:before="60"/>
        <w:ind w:left="360"/>
      </w:pPr>
      <w:r>
        <w:rPr>
          <w:rFonts w:ascii="Courier New" w:cs="Courier New" w:eastAsia="Courier New" w:hAnsi="Courier New"/>
          <w:color w:val="C00000"/>
          <w:sz w:val="18"/>
          <w:szCs w:val="18"/>
        </w:rPr>
        <w:t xml:space="preserve">│   │   ├── OU=Physicians</w:t>
      </w:r>
    </w:p>
    <w:p>
      <w:pPr>
        <w:shd w:fill="F2F2F2" w:val="clear"/>
        <w:spacing w:after="60" w:before="60"/>
        <w:ind w:left="360"/>
      </w:pPr>
      <w:r>
        <w:rPr>
          <w:rFonts w:ascii="Courier New" w:cs="Courier New" w:eastAsia="Courier New" w:hAnsi="Courier New"/>
          <w:color w:val="C00000"/>
          <w:sz w:val="18"/>
          <w:szCs w:val="18"/>
        </w:rPr>
        <w:t xml:space="preserve">│   │   ├── OU=Nursing</w:t>
      </w:r>
    </w:p>
    <w:p>
      <w:pPr>
        <w:shd w:fill="F2F2F2" w:val="clear"/>
        <w:spacing w:after="60" w:before="60"/>
        <w:ind w:left="360"/>
      </w:pPr>
      <w:r>
        <w:rPr>
          <w:rFonts w:ascii="Courier New" w:cs="Courier New" w:eastAsia="Courier New" w:hAnsi="Courier New"/>
          <w:color w:val="C00000"/>
          <w:sz w:val="18"/>
          <w:szCs w:val="18"/>
        </w:rPr>
        <w:t xml:space="preserve">│   │   ├── OU=Pharmacy</w:t>
      </w:r>
    </w:p>
    <w:p>
      <w:pPr>
        <w:shd w:fill="F2F2F2" w:val="clear"/>
        <w:spacing w:after="60" w:before="60"/>
        <w:ind w:left="360"/>
      </w:pPr>
      <w:r>
        <w:rPr>
          <w:rFonts w:ascii="Courier New" w:cs="Courier New" w:eastAsia="Courier New" w:hAnsi="Courier New"/>
          <w:color w:val="C00000"/>
          <w:sz w:val="18"/>
          <w:szCs w:val="18"/>
        </w:rPr>
        <w:t xml:space="preserve">│   │   └── OU=Radiology</w:t>
      </w:r>
    </w:p>
    <w:p>
      <w:pPr>
        <w:shd w:fill="F2F2F2" w:val="clear"/>
        <w:spacing w:after="60" w:before="60"/>
        <w:ind w:left="360"/>
      </w:pPr>
      <w:r>
        <w:rPr>
          <w:rFonts w:ascii="Courier New" w:cs="Courier New" w:eastAsia="Courier New" w:hAnsi="Courier New"/>
          <w:color w:val="C00000"/>
          <w:sz w:val="18"/>
          <w:szCs w:val="18"/>
        </w:rPr>
        <w:t xml:space="preserve">│   ├── OU=Administrative</w:t>
      </w:r>
    </w:p>
    <w:p>
      <w:pPr>
        <w:shd w:fill="F2F2F2" w:val="clear"/>
        <w:spacing w:after="60" w:before="60"/>
        <w:ind w:left="360"/>
      </w:pPr>
      <w:r>
        <w:rPr>
          <w:rFonts w:ascii="Courier New" w:cs="Courier New" w:eastAsia="Courier New" w:hAnsi="Courier New"/>
          <w:color w:val="C00000"/>
          <w:sz w:val="18"/>
          <w:szCs w:val="18"/>
        </w:rPr>
        <w:t xml:space="preserve">│   │   ├── OU=HR</w:t>
      </w:r>
    </w:p>
    <w:p>
      <w:pPr>
        <w:shd w:fill="F2F2F2" w:val="clear"/>
        <w:spacing w:after="60" w:before="60"/>
        <w:ind w:left="360"/>
      </w:pPr>
      <w:r>
        <w:rPr>
          <w:rFonts w:ascii="Courier New" w:cs="Courier New" w:eastAsia="Courier New" w:hAnsi="Courier New"/>
          <w:color w:val="C00000"/>
          <w:sz w:val="18"/>
          <w:szCs w:val="18"/>
        </w:rPr>
        <w:t xml:space="preserve">│   │   └── OU=Billing</w:t>
      </w:r>
    </w:p>
    <w:p>
      <w:pPr>
        <w:shd w:fill="F2F2F2" w:val="clear"/>
        <w:spacing w:after="60" w:before="60"/>
        <w:ind w:left="360"/>
      </w:pPr>
      <w:r>
        <w:rPr>
          <w:rFonts w:ascii="Courier New" w:cs="Courier New" w:eastAsia="Courier New" w:hAnsi="Courier New"/>
          <w:color w:val="C00000"/>
          <w:sz w:val="18"/>
          <w:szCs w:val="18"/>
        </w:rPr>
        <w:t xml:space="preserve">│   ├── OU=Contractors</w:t>
      </w:r>
    </w:p>
    <w:p>
      <w:pPr>
        <w:shd w:fill="F2F2F2" w:val="clear"/>
        <w:spacing w:after="60" w:before="60"/>
        <w:ind w:left="360"/>
      </w:pPr>
      <w:r>
        <w:rPr>
          <w:rFonts w:ascii="Courier New" w:cs="Courier New" w:eastAsia="Courier New" w:hAnsi="Courier New"/>
          <w:color w:val="C00000"/>
          <w:sz w:val="18"/>
          <w:szCs w:val="18"/>
        </w:rPr>
        <w:t xml:space="preserve">│   └── OU=Vendors</w:t>
      </w:r>
    </w:p>
    <w:p>
      <w:pPr>
        <w:shd w:fill="F2F2F2" w:val="clear"/>
        <w:spacing w:after="60" w:before="60"/>
        <w:ind w:left="360"/>
      </w:pPr>
      <w:r>
        <w:rPr>
          <w:rFonts w:ascii="Courier New" w:cs="Courier New" w:eastAsia="Courier New" w:hAnsi="Courier New"/>
          <w:color w:val="C00000"/>
          <w:sz w:val="18"/>
          <w:szCs w:val="18"/>
        </w:rPr>
        <w:t xml:space="preserve">├── OU=NEH-Workstation</w:t>
      </w:r>
    </w:p>
    <w:p>
      <w:pPr>
        <w:shd w:fill="F2F2F2" w:val="clear"/>
        <w:spacing w:after="60" w:before="60"/>
        <w:ind w:left="360"/>
      </w:pPr>
      <w:r>
        <w:rPr>
          <w:rFonts w:ascii="Courier New" w:cs="Courier New" w:eastAsia="Courier New" w:hAnsi="Courier New"/>
          <w:color w:val="C00000"/>
          <w:sz w:val="18"/>
          <w:szCs w:val="18"/>
        </w:rPr>
        <w:t xml:space="preserve">├── OU=Disabled</w:t>
      </w:r>
    </w:p>
    <w:p>
      <w:pPr>
        <w:shd w:fill="F2F2F2" w:val="clear"/>
        <w:spacing w:after="60" w:before="60"/>
        <w:ind w:left="360"/>
      </w:pPr>
      <w:r>
        <w:rPr>
          <w:rFonts w:ascii="Courier New" w:cs="Courier New" w:eastAsia="Courier New" w:hAnsi="Courier New"/>
          <w:color w:val="C00000"/>
          <w:sz w:val="18"/>
          <w:szCs w:val="18"/>
        </w:rPr>
        <w:t xml:space="preserve">└── OU=ServiceAccounts</w:t>
      </w:r>
    </w:p>
    <w:p>
      <w:r>
        <w:br w:type="page"/>
      </w:r>
    </w:p>
    <w:p>
      <w:pPr>
        <w:pStyle w:val="Heading1"/>
        <w:spacing w:after="120" w:before="360"/>
      </w:pPr>
      <w:r>
        <w:rPr>
          <w:rFonts w:ascii="Arial" w:cs="Arial" w:eastAsia="Arial" w:hAnsi="Arial"/>
          <w:b/>
          <w:bCs/>
          <w:color w:val="1F4E79"/>
          <w:sz w:val="32"/>
          <w:szCs w:val="32"/>
        </w:rPr>
        <w:t xml:space="preserve">Users and Security Groups</w:t>
      </w:r>
    </w:p>
    <w:p>
      <w:pPr>
        <w:pStyle w:val="Heading2"/>
        <w:spacing w:after="80" w:before="240"/>
      </w:pPr>
      <w:r>
        <w:rPr>
          <w:rFonts w:ascii="Arial" w:cs="Arial" w:eastAsia="Arial" w:hAnsi="Arial"/>
          <w:b/>
          <w:bCs/>
          <w:color w:val="2E75B6"/>
          <w:sz w:val="26"/>
          <w:szCs w:val="26"/>
        </w:rPr>
        <w:t xml:space="preserve">IT Department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2500"/>
        <w:gridCol w:w="4360"/>
      </w:tblGrid>
      <w:tr>
        <w:trPr>
          <w:tblHeader/>
        </w:trPr>
        <w:tc>
          <w:tcPr>
            <w:tcBorders>
              <w:top w:val="single" w:color="1F4E79" w:sz="1"/>
              <w:left w:val="single" w:color="1F4E79" w:sz="1"/>
              <w:bottom w:val="single" w:color="1F4E79" w:sz="1"/>
              <w:right w:val="single" w:color="1F4E79" w:sz="1"/>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User</w:t>
            </w:r>
          </w:p>
        </w:tc>
        <w:tc>
          <w:tcPr>
            <w:tcBorders>
              <w:top w:val="single" w:color="1F4E79" w:sz="1"/>
              <w:left w:val="single" w:color="1F4E79" w:sz="1"/>
              <w:bottom w:val="single" w:color="1F4E79" w:sz="1"/>
              <w:right w:val="single" w:color="1F4E79" w:sz="1"/>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Title</w:t>
            </w:r>
          </w:p>
        </w:tc>
        <w:tc>
          <w:tcPr>
            <w:tcBorders>
              <w:top w:val="single" w:color="1F4E79" w:sz="1"/>
              <w:left w:val="single" w:color="1F4E79" w:sz="1"/>
              <w:bottom w:val="single" w:color="1F4E79" w:sz="1"/>
              <w:right w:val="single" w:color="1F4E79" w:sz="1"/>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Security Group</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Michael Torres</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IT Manager</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GRP-IT-Admins</w:t>
            </w:r>
          </w:p>
        </w:tc>
      </w:tr>
      <w:tr>
        <w:tc>
          <w:tcPr>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8"/>
                <w:szCs w:val="18"/>
              </w:rPr>
              <w:t xml:space="preserve">James Carter</w:t>
            </w:r>
          </w:p>
        </w:tc>
        <w:tc>
          <w:tcPr>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8"/>
                <w:szCs w:val="18"/>
              </w:rPr>
              <w:t xml:space="preserve">IT Engineer</w:t>
            </w:r>
          </w:p>
        </w:tc>
        <w:tc>
          <w:tcPr>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8"/>
                <w:szCs w:val="18"/>
              </w:rPr>
              <w:t xml:space="preserve">GRP-IT-Admins</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Rachel Gomez</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IT Engineer</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GRP-IT-Admins</w:t>
            </w:r>
          </w:p>
        </w:tc>
      </w:tr>
      <w:tr>
        <w:tc>
          <w:tcPr>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8"/>
                <w:szCs w:val="18"/>
              </w:rPr>
              <w:t xml:space="preserve">David Okonkwo</w:t>
            </w:r>
          </w:p>
        </w:tc>
        <w:tc>
          <w:tcPr>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8"/>
                <w:szCs w:val="18"/>
              </w:rPr>
              <w:t xml:space="preserve">Helpdesk Technician</w:t>
            </w:r>
          </w:p>
        </w:tc>
        <w:tc>
          <w:tcPr>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8"/>
                <w:szCs w:val="18"/>
              </w:rPr>
              <w:t xml:space="preserve">GRP-IT-Support</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Lisa Tran</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Helpdesk Technician</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GRP-IT-Support</w:t>
            </w:r>
          </w:p>
        </w:tc>
      </w:tr>
      <w:tr>
        <w:tc>
          <w:tcPr>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8"/>
                <w:szCs w:val="18"/>
              </w:rPr>
              <w:t xml:space="preserve">Kevin Patel</w:t>
            </w:r>
          </w:p>
        </w:tc>
        <w:tc>
          <w:tcPr>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8"/>
                <w:szCs w:val="18"/>
              </w:rPr>
              <w:t xml:space="preserve">Helpdesk Technician</w:t>
            </w:r>
          </w:p>
        </w:tc>
        <w:tc>
          <w:tcPr>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8"/>
                <w:szCs w:val="18"/>
              </w:rPr>
              <w:t xml:space="preserve">GRP-IT-Support</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Marcus Webb</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Server Administrator</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GRP-IT-Server-Admins</w:t>
            </w:r>
          </w:p>
        </w:tc>
      </w:tr>
      <w:tr>
        <w:tc>
          <w:tcPr>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8"/>
                <w:szCs w:val="18"/>
              </w:rPr>
              <w:t xml:space="preserve">Angela Brooks</w:t>
            </w:r>
          </w:p>
        </w:tc>
        <w:tc>
          <w:tcPr>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8"/>
                <w:szCs w:val="18"/>
              </w:rPr>
              <w:t xml:space="preserve">Server Administrator</w:t>
            </w:r>
          </w:p>
        </w:tc>
        <w:tc>
          <w:tcPr>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8"/>
                <w:szCs w:val="18"/>
              </w:rPr>
              <w:t xml:space="preserve">GRP-IT-Server-Admins</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Chris Nguyen</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Network Engineer</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GRP-IT-Network</w:t>
            </w:r>
          </w:p>
        </w:tc>
      </w:tr>
      <w:tr>
        <w:tc>
          <w:tcPr>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8"/>
                <w:szCs w:val="18"/>
              </w:rPr>
              <w:t xml:space="preserve">Sarah Mitchell</w:t>
            </w:r>
          </w:p>
        </w:tc>
        <w:tc>
          <w:tcPr>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8"/>
                <w:szCs w:val="18"/>
              </w:rPr>
              <w:t xml:space="preserve">Network Engineer</w:t>
            </w:r>
          </w:p>
        </w:tc>
        <w:tc>
          <w:tcPr>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8"/>
                <w:szCs w:val="18"/>
              </w:rPr>
              <w:t xml:space="preserve">GRP-IT-Network</w:t>
            </w:r>
          </w:p>
        </w:tc>
      </w:tr>
    </w:tbl>
    <w:p>
      <w:pPr>
        <w:spacing w:after="80" w:before="80"/>
      </w:pPr>
      <w:r>
        <w:t xml:space="preserve"/>
      </w:r>
    </w:p>
    <w:p>
      <w:pPr>
        <w:pStyle w:val="Heading2"/>
        <w:spacing w:after="80" w:before="240"/>
      </w:pPr>
      <w:r>
        <w:rPr>
          <w:rFonts w:ascii="Arial" w:cs="Arial" w:eastAsia="Arial" w:hAnsi="Arial"/>
          <w:b/>
          <w:bCs/>
          <w:color w:val="2E75B6"/>
          <w:sz w:val="26"/>
          <w:szCs w:val="26"/>
        </w:rPr>
        <w:t xml:space="preserve">Clinical Department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2500"/>
        <w:gridCol w:w="4360"/>
      </w:tblGrid>
      <w:tr>
        <w:trPr>
          <w:tblHeader/>
        </w:trPr>
        <w:tc>
          <w:tcPr>
            <w:tcBorders>
              <w:top w:val="single" w:color="1F4E79" w:sz="1"/>
              <w:left w:val="single" w:color="1F4E79" w:sz="1"/>
              <w:bottom w:val="single" w:color="1F4E79" w:sz="1"/>
              <w:right w:val="single" w:color="1F4E79" w:sz="1"/>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User</w:t>
            </w:r>
          </w:p>
        </w:tc>
        <w:tc>
          <w:tcPr>
            <w:tcBorders>
              <w:top w:val="single" w:color="1F4E79" w:sz="1"/>
              <w:left w:val="single" w:color="1F4E79" w:sz="1"/>
              <w:bottom w:val="single" w:color="1F4E79" w:sz="1"/>
              <w:right w:val="single" w:color="1F4E79" w:sz="1"/>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Title</w:t>
            </w:r>
          </w:p>
        </w:tc>
        <w:tc>
          <w:tcPr>
            <w:tcBorders>
              <w:top w:val="single" w:color="1F4E79" w:sz="1"/>
              <w:left w:val="single" w:color="1F4E79" w:sz="1"/>
              <w:bottom w:val="single" w:color="1F4E79" w:sz="1"/>
              <w:right w:val="single" w:color="1F4E79" w:sz="1"/>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Security Group</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William Hayes</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Attending Physician</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GRP-Physicians</w:t>
            </w:r>
          </w:p>
        </w:tc>
      </w:tr>
      <w:tr>
        <w:tc>
          <w:tcPr>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8"/>
                <w:szCs w:val="18"/>
              </w:rPr>
              <w:t xml:space="preserve">Amanda Rivera</w:t>
            </w:r>
          </w:p>
        </w:tc>
        <w:tc>
          <w:tcPr>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8"/>
                <w:szCs w:val="18"/>
              </w:rPr>
              <w:t xml:space="preserve">Resident Physician</w:t>
            </w:r>
          </w:p>
        </w:tc>
        <w:tc>
          <w:tcPr>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8"/>
                <w:szCs w:val="18"/>
              </w:rPr>
              <w:t xml:space="preserve">GRP-Physicians</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Robert Chen</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Chief of Medicine</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GRP-Physicians</w:t>
            </w:r>
          </w:p>
        </w:tc>
      </w:tr>
      <w:tr>
        <w:tc>
          <w:tcPr>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8"/>
                <w:szCs w:val="18"/>
              </w:rPr>
              <w:t xml:space="preserve">Patricia Williams</w:t>
            </w:r>
          </w:p>
        </w:tc>
        <w:tc>
          <w:tcPr>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8"/>
                <w:szCs w:val="18"/>
              </w:rPr>
              <w:t xml:space="preserve">Registered Nurse</w:t>
            </w:r>
          </w:p>
        </w:tc>
        <w:tc>
          <w:tcPr>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8"/>
                <w:szCs w:val="18"/>
              </w:rPr>
              <w:t xml:space="preserve">GRP-Nursing-RN</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Thomas Jackson</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Registered Nurse</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GRP-Nursing-RN</w:t>
            </w:r>
          </w:p>
        </w:tc>
      </w:tr>
      <w:tr>
        <w:tc>
          <w:tcPr>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8"/>
                <w:szCs w:val="18"/>
              </w:rPr>
              <w:t xml:space="preserve">Sandra Lee</w:t>
            </w:r>
          </w:p>
        </w:tc>
        <w:tc>
          <w:tcPr>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8"/>
                <w:szCs w:val="18"/>
              </w:rPr>
              <w:t xml:space="preserve">Charge Nurse</w:t>
            </w:r>
          </w:p>
        </w:tc>
        <w:tc>
          <w:tcPr>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8"/>
                <w:szCs w:val="18"/>
              </w:rPr>
              <w:t xml:space="preserve">GRP-Nursing-Charge</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Jennifer Kim</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Pharmacist</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GRP-Pharmacy-PharmD</w:t>
            </w:r>
          </w:p>
        </w:tc>
      </w:tr>
      <w:tr>
        <w:tc>
          <w:tcPr>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8"/>
                <w:szCs w:val="18"/>
              </w:rPr>
              <w:t xml:space="preserve">Daniel Park</w:t>
            </w:r>
          </w:p>
        </w:tc>
        <w:tc>
          <w:tcPr>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8"/>
                <w:szCs w:val="18"/>
              </w:rPr>
              <w:t xml:space="preserve">Pharmacist</w:t>
            </w:r>
          </w:p>
        </w:tc>
        <w:tc>
          <w:tcPr>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8"/>
                <w:szCs w:val="18"/>
              </w:rPr>
              <w:t xml:space="preserve">GRP-Pharmacy-PharmD</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Michelle Scott</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Pharmacy Technician</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GRP-Pharmacy-Tech</w:t>
            </w:r>
          </w:p>
        </w:tc>
      </w:tr>
      <w:tr>
        <w:tc>
          <w:tcPr>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8"/>
                <w:szCs w:val="18"/>
              </w:rPr>
              <w:t xml:space="preserve">Richard Morgan</w:t>
            </w:r>
          </w:p>
        </w:tc>
        <w:tc>
          <w:tcPr>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8"/>
                <w:szCs w:val="18"/>
              </w:rPr>
              <w:t xml:space="preserve">Radiologist</w:t>
            </w:r>
          </w:p>
        </w:tc>
        <w:tc>
          <w:tcPr>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8"/>
                <w:szCs w:val="18"/>
              </w:rPr>
              <w:t xml:space="preserve">GRP-Radiology-MD</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Elizabeth Turner</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Radiologist</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GRP-Radiology-MD</w:t>
            </w:r>
          </w:p>
        </w:tc>
      </w:tr>
      <w:tr>
        <w:tc>
          <w:tcPr>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8"/>
                <w:szCs w:val="18"/>
              </w:rPr>
              <w:t xml:space="preserve">Carlos Reyes</w:t>
            </w:r>
          </w:p>
        </w:tc>
        <w:tc>
          <w:tcPr>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8"/>
                <w:szCs w:val="18"/>
              </w:rPr>
              <w:t xml:space="preserve">Radiology Technician</w:t>
            </w:r>
          </w:p>
        </w:tc>
        <w:tc>
          <w:tcPr>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8"/>
                <w:szCs w:val="18"/>
              </w:rPr>
              <w:t xml:space="preserve">GRP-Radiology-Tech</w:t>
            </w:r>
          </w:p>
        </w:tc>
      </w:tr>
    </w:tbl>
    <w:p>
      <w:pPr>
        <w:spacing w:after="80" w:before="80"/>
      </w:pPr>
      <w:r>
        <w:t xml:space="preserve"/>
      </w:r>
    </w:p>
    <w:p>
      <w:pPr>
        <w:pStyle w:val="Heading2"/>
        <w:spacing w:after="80" w:before="240"/>
      </w:pPr>
      <w:r>
        <w:rPr>
          <w:rFonts w:ascii="Arial" w:cs="Arial" w:eastAsia="Arial" w:hAnsi="Arial"/>
          <w:b/>
          <w:bCs/>
          <w:color w:val="2E75B6"/>
          <w:sz w:val="26"/>
          <w:szCs w:val="26"/>
        </w:rPr>
        <w:t xml:space="preserve">Administrative Department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2500"/>
        <w:gridCol w:w="4360"/>
      </w:tblGrid>
      <w:tr>
        <w:trPr>
          <w:tblHeader/>
        </w:trPr>
        <w:tc>
          <w:tcPr>
            <w:tcBorders>
              <w:top w:val="single" w:color="1F4E79" w:sz="1"/>
              <w:left w:val="single" w:color="1F4E79" w:sz="1"/>
              <w:bottom w:val="single" w:color="1F4E79" w:sz="1"/>
              <w:right w:val="single" w:color="1F4E79" w:sz="1"/>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User</w:t>
            </w:r>
          </w:p>
        </w:tc>
        <w:tc>
          <w:tcPr>
            <w:tcBorders>
              <w:top w:val="single" w:color="1F4E79" w:sz="1"/>
              <w:left w:val="single" w:color="1F4E79" w:sz="1"/>
              <w:bottom w:val="single" w:color="1F4E79" w:sz="1"/>
              <w:right w:val="single" w:color="1F4E79" w:sz="1"/>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Title</w:t>
            </w:r>
          </w:p>
        </w:tc>
        <w:tc>
          <w:tcPr>
            <w:tcBorders>
              <w:top w:val="single" w:color="1F4E79" w:sz="1"/>
              <w:left w:val="single" w:color="1F4E79" w:sz="1"/>
              <w:bottom w:val="single" w:color="1F4E79" w:sz="1"/>
              <w:right w:val="single" w:color="1F4E79" w:sz="1"/>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Security Group</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Angela Brooks</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HR Manager</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GRP-HR-Manager</w:t>
            </w:r>
          </w:p>
        </w:tc>
      </w:tr>
      <w:tr>
        <w:tc>
          <w:tcPr>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8"/>
                <w:szCs w:val="18"/>
              </w:rPr>
              <w:t xml:space="preserve">Nicole Washington</w:t>
            </w:r>
          </w:p>
        </w:tc>
        <w:tc>
          <w:tcPr>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8"/>
                <w:szCs w:val="18"/>
              </w:rPr>
              <w:t xml:space="preserve">HR Coordinator</w:t>
            </w:r>
          </w:p>
        </w:tc>
        <w:tc>
          <w:tcPr>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8"/>
                <w:szCs w:val="18"/>
              </w:rPr>
              <w:t xml:space="preserve">GRP-HR-Staff</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Steven Hall</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Recruiter</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GRP-HR-Staff</w:t>
            </w:r>
          </w:p>
        </w:tc>
      </w:tr>
      <w:tr>
        <w:tc>
          <w:tcPr>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8"/>
                <w:szCs w:val="18"/>
              </w:rPr>
              <w:t xml:space="preserve">Kevin Patel</w:t>
            </w:r>
          </w:p>
        </w:tc>
        <w:tc>
          <w:tcPr>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8"/>
                <w:szCs w:val="18"/>
              </w:rPr>
              <w:t xml:space="preserve">Billing Manager</w:t>
            </w:r>
          </w:p>
        </w:tc>
        <w:tc>
          <w:tcPr>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8"/>
                <w:szCs w:val="18"/>
              </w:rPr>
              <w:t xml:space="preserve">GRP-Billing-Manager</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Diana Foster</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Medical Coder</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GRP-Billing-Staff</w:t>
            </w:r>
          </w:p>
        </w:tc>
      </w:tr>
      <w:tr>
        <w:tc>
          <w:tcPr>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8"/>
                <w:szCs w:val="18"/>
              </w:rPr>
              <w:t xml:space="preserve">Raymond Price</w:t>
            </w:r>
          </w:p>
        </w:tc>
        <w:tc>
          <w:tcPr>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8"/>
                <w:szCs w:val="18"/>
              </w:rPr>
              <w:t xml:space="preserve">Billing Specialist</w:t>
            </w:r>
          </w:p>
        </w:tc>
        <w:tc>
          <w:tcPr>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8"/>
                <w:szCs w:val="18"/>
              </w:rPr>
              <w:t xml:space="preserve">GRP-Billing-Staff</w:t>
            </w:r>
          </w:p>
        </w:tc>
      </w:tr>
    </w:tbl>
    <w:p>
      <w:pPr>
        <w:spacing w:after="80" w:before="80"/>
      </w:pPr>
      <w:r>
        <w:t xml:space="preserve"/>
      </w:r>
    </w:p>
    <w:p>
      <w:pPr>
        <w:pStyle w:val="Heading2"/>
        <w:spacing w:after="80" w:before="240"/>
      </w:pPr>
      <w:r>
        <w:rPr>
          <w:rFonts w:ascii="Arial" w:cs="Arial" w:eastAsia="Arial" w:hAnsi="Arial"/>
          <w:b/>
          <w:bCs/>
          <w:color w:val="2E75B6"/>
          <w:sz w:val="26"/>
          <w:szCs w:val="26"/>
        </w:rPr>
        <w:t xml:space="preserve">External Accounts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2500"/>
        <w:gridCol w:w="4360"/>
      </w:tblGrid>
      <w:tr>
        <w:trPr>
          <w:tblHeader/>
        </w:trPr>
        <w:tc>
          <w:tcPr>
            <w:tcBorders>
              <w:top w:val="single" w:color="1F4E79" w:sz="1"/>
              <w:left w:val="single" w:color="1F4E79" w:sz="1"/>
              <w:bottom w:val="single" w:color="1F4E79" w:sz="1"/>
              <w:right w:val="single" w:color="1F4E79" w:sz="1"/>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User</w:t>
            </w:r>
          </w:p>
        </w:tc>
        <w:tc>
          <w:tcPr>
            <w:tcBorders>
              <w:top w:val="single" w:color="1F4E79" w:sz="1"/>
              <w:left w:val="single" w:color="1F4E79" w:sz="1"/>
              <w:bottom w:val="single" w:color="1F4E79" w:sz="1"/>
              <w:right w:val="single" w:color="1F4E79" w:sz="1"/>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Title</w:t>
            </w:r>
          </w:p>
        </w:tc>
        <w:tc>
          <w:tcPr>
            <w:tcBorders>
              <w:top w:val="single" w:color="1F4E79" w:sz="1"/>
              <w:left w:val="single" w:color="1F4E79" w:sz="1"/>
              <w:bottom w:val="single" w:color="1F4E79" w:sz="1"/>
              <w:right w:val="single" w:color="1F4E79" w:sz="1"/>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Security Group</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John Smith</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Travel Nurse</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GRP-Contractors-Clinical</w:t>
            </w:r>
          </w:p>
        </w:tc>
      </w:tr>
      <w:tr>
        <w:tc>
          <w:tcPr>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8"/>
                <w:szCs w:val="18"/>
              </w:rPr>
              <w:t xml:space="preserve">Maria Santos</w:t>
            </w:r>
          </w:p>
        </w:tc>
        <w:tc>
          <w:tcPr>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8"/>
                <w:szCs w:val="18"/>
              </w:rPr>
              <w:t xml:space="preserve">Locum Physician</w:t>
            </w:r>
          </w:p>
        </w:tc>
        <w:tc>
          <w:tcPr>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8"/>
                <w:szCs w:val="18"/>
              </w:rPr>
              <w:t xml:space="preserve">GRP-Contractors-Clinical</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Brian Wallace</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Temp Medical Coder</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GRP-Contractors-Admin</w:t>
            </w:r>
          </w:p>
        </w:tc>
      </w:tr>
      <w:tr>
        <w:tc>
          <w:tcPr>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8"/>
                <w:szCs w:val="18"/>
              </w:rPr>
              <w:t xml:space="preserve">TechCorp Vendor1</w:t>
            </w:r>
          </w:p>
        </w:tc>
        <w:tc>
          <w:tcPr>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8"/>
                <w:szCs w:val="18"/>
              </w:rPr>
              <w:t xml:space="preserve">EHR Support Tech</w:t>
            </w:r>
          </w:p>
        </w:tc>
        <w:tc>
          <w:tcPr>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8"/>
                <w:szCs w:val="18"/>
              </w:rPr>
              <w:t xml:space="preserve">GRP-Vendors-EHR</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MedSupply Vendor2</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Medical Equipment Rep</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GRP-Vendors-Equipment</w:t>
            </w:r>
          </w:p>
        </w:tc>
      </w:tr>
      <w:tr>
        <w:tc>
          <w:tcPr>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8"/>
                <w:szCs w:val="18"/>
              </w:rPr>
              <w:t xml:space="preserve">NetVendor Vendor3</w:t>
            </w:r>
          </w:p>
        </w:tc>
        <w:tc>
          <w:tcPr>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8"/>
                <w:szCs w:val="18"/>
              </w:rPr>
              <w:t xml:space="preserve">Network Vendor Rep</w:t>
            </w:r>
          </w:p>
        </w:tc>
        <w:tc>
          <w:tcPr>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8"/>
                <w:szCs w:val="18"/>
              </w:rPr>
              <w:t xml:space="preserve">GRP-Vendors-Network</w:t>
            </w:r>
          </w:p>
        </w:tc>
      </w:tr>
    </w:tbl>
    <w:p>
      <w:pPr>
        <w:spacing w:after="80" w:before="80"/>
      </w:pPr>
      <w:r>
        <w:t xml:space="preserve"/>
      </w:r>
    </w:p>
    <w:p>
      <w:pPr>
        <w:pBdr>
          <w:left w:val="single" w:color="2E75B6" w:sz="6" w:space="1"/>
        </w:pBdr>
        <w:spacing w:after="80" w:before="80"/>
        <w:ind w:left="360"/>
      </w:pPr>
      <w:r>
        <w:rPr>
          <w:rFonts w:ascii="Arial" w:cs="Arial" w:eastAsia="Arial" w:hAnsi="Arial"/>
          <w:i/>
          <w:iCs/>
          <w:color w:val="404040"/>
          <w:sz w:val="20"/>
          <w:szCs w:val="20"/>
        </w:rPr>
        <w:t xml:space="preserve">All contractor accounts expire 09/01/2026. All vendor accounts expire 08/25/2026. Account expiry is set at the AD account level aligned to HIPAA access termination requirements.</w:t>
      </w:r>
    </w:p>
    <w:p>
      <w:r>
        <w:br w:type="page"/>
      </w:r>
    </w:p>
    <w:p>
      <w:pPr>
        <w:pStyle w:val="Heading1"/>
        <w:spacing w:after="120" w:before="360"/>
      </w:pPr>
      <w:r>
        <w:rPr>
          <w:rFonts w:ascii="Arial" w:cs="Arial" w:eastAsia="Arial" w:hAnsi="Arial"/>
          <w:b/>
          <w:bCs/>
          <w:color w:val="1F4E79"/>
          <w:sz w:val="32"/>
          <w:szCs w:val="32"/>
        </w:rPr>
        <w:t xml:space="preserve">Group Policy Objects (GPOs)</w:t>
      </w:r>
    </w:p>
    <w:p>
      <w:pPr>
        <w:pStyle w:val="Heading2"/>
        <w:spacing w:after="80" w:before="240"/>
      </w:pPr>
      <w:r>
        <w:rPr>
          <w:rFonts w:ascii="Arial" w:cs="Arial" w:eastAsia="Arial" w:hAnsi="Arial"/>
          <w:b/>
          <w:bCs/>
          <w:color w:val="2E75B6"/>
          <w:sz w:val="26"/>
          <w:szCs w:val="26"/>
        </w:rPr>
        <w:t xml:space="preserve">GPO Stack Overview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GPO Name</w:t>
            </w:r>
          </w:p>
        </w:tc>
        <w:tc>
          <w:tcPr>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Linked To</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NEH-Password-Policy</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Domain Root (NEH.local)</w:t>
            </w:r>
          </w:p>
        </w:tc>
      </w:tr>
      <w:tr>
        <w:tc>
          <w:tcPr>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8"/>
                <w:szCs w:val="18"/>
              </w:rPr>
              <w:t xml:space="preserve">NEH-IT-Baseline</w:t>
            </w:r>
          </w:p>
        </w:tc>
        <w:tc>
          <w:tcPr>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8"/>
                <w:szCs w:val="18"/>
              </w:rPr>
              <w:t xml:space="preserve">OU=NEH-IT</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NEH-IT-Helpdesk-Policy</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OU=NEH-IT-Support</w:t>
            </w:r>
          </w:p>
        </w:tc>
      </w:tr>
      <w:tr>
        <w:tc>
          <w:tcPr>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8"/>
                <w:szCs w:val="18"/>
              </w:rPr>
              <w:t xml:space="preserve">NEH-IT-Admins-Policy</w:t>
            </w:r>
          </w:p>
        </w:tc>
        <w:tc>
          <w:tcPr>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8"/>
                <w:szCs w:val="18"/>
              </w:rPr>
              <w:t xml:space="preserve">OU=NEH-IT-Admins</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NEH-IT-Server-Policy</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OU=NEH-IT-Server-Admins</w:t>
            </w:r>
          </w:p>
        </w:tc>
      </w:tr>
      <w:tr>
        <w:tc>
          <w:tcPr>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8"/>
                <w:szCs w:val="18"/>
              </w:rPr>
              <w:t xml:space="preserve">NEH-IT-Network-Policy</w:t>
            </w:r>
          </w:p>
        </w:tc>
        <w:tc>
          <w:tcPr>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8"/>
                <w:szCs w:val="18"/>
              </w:rPr>
              <w:t xml:space="preserve">OU=NEH-IT-Network</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NEH-Clinical-Baseline</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OU=Clinical</w:t>
            </w:r>
          </w:p>
        </w:tc>
      </w:tr>
      <w:tr>
        <w:tc>
          <w:tcPr>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8"/>
                <w:szCs w:val="18"/>
              </w:rPr>
              <w:t xml:space="preserve">NEH-Physicians-Policy</w:t>
            </w:r>
          </w:p>
        </w:tc>
        <w:tc>
          <w:tcPr>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8"/>
                <w:szCs w:val="18"/>
              </w:rPr>
              <w:t xml:space="preserve">OU=Physicians</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NEH-Nursing-Policy</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OU=Nursing</w:t>
            </w:r>
          </w:p>
        </w:tc>
      </w:tr>
      <w:tr>
        <w:tc>
          <w:tcPr>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8"/>
                <w:szCs w:val="18"/>
              </w:rPr>
              <w:t xml:space="preserve">NEH-Pharmacy-Policy</w:t>
            </w:r>
          </w:p>
        </w:tc>
        <w:tc>
          <w:tcPr>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8"/>
                <w:szCs w:val="18"/>
              </w:rPr>
              <w:t xml:space="preserve">OU=Pharmacy</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NEH-Radiology-Policy</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OU=Radiology</w:t>
            </w:r>
          </w:p>
        </w:tc>
      </w:tr>
      <w:tr>
        <w:tc>
          <w:tcPr>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8"/>
                <w:szCs w:val="18"/>
              </w:rPr>
              <w:t xml:space="preserve">NEH-Administrative-Baseline</w:t>
            </w:r>
          </w:p>
        </w:tc>
        <w:tc>
          <w:tcPr>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8"/>
                <w:szCs w:val="18"/>
              </w:rPr>
              <w:t xml:space="preserve">OU=Administrative</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NEH-HR-Policy</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OU=HR</w:t>
            </w:r>
          </w:p>
        </w:tc>
      </w:tr>
      <w:tr>
        <w:tc>
          <w:tcPr>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8"/>
                <w:szCs w:val="18"/>
              </w:rPr>
              <w:t xml:space="preserve">NEH-Billing-Policy</w:t>
            </w:r>
          </w:p>
        </w:tc>
        <w:tc>
          <w:tcPr>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8"/>
                <w:szCs w:val="18"/>
              </w:rPr>
              <w:t xml:space="preserve">OU=Billing</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NEH-Contractors-Policy</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OU=Contractors</w:t>
            </w:r>
          </w:p>
        </w:tc>
      </w:tr>
      <w:tr>
        <w:tc>
          <w:tcPr>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8"/>
                <w:szCs w:val="18"/>
              </w:rPr>
              <w:t xml:space="preserve">NEH-Vendors-Policy</w:t>
            </w:r>
          </w:p>
        </w:tc>
        <w:tc>
          <w:tcPr>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8"/>
                <w:szCs w:val="18"/>
              </w:rPr>
              <w:t xml:space="preserve">OU=Vendors</w:t>
            </w:r>
          </w:p>
        </w:tc>
      </w:tr>
    </w:tbl>
    <w:p>
      <w:pPr>
        <w:spacing w:after="80" w:before="80"/>
      </w:pPr>
      <w:r>
        <w:t xml:space="preserve"/>
      </w:r>
    </w:p>
    <w:p>
      <w:pPr>
        <w:pStyle w:val="Heading2"/>
        <w:spacing w:after="80" w:before="240"/>
      </w:pPr>
      <w:r>
        <w:rPr>
          <w:rFonts w:ascii="Arial" w:cs="Arial" w:eastAsia="Arial" w:hAnsi="Arial"/>
          <w:b/>
          <w:bCs/>
          <w:color w:val="2E75B6"/>
          <w:sz w:val="26"/>
          <w:szCs w:val="26"/>
        </w:rPr>
        <w:t xml:space="preserve">Password Policy — NEH-Password-Policy</w:t>
      </w:r>
    </w:p>
    <w:p>
      <w:pPr>
        <w:pBdr>
          <w:left w:val="single" w:color="2E75B6" w:sz="6" w:space="1"/>
        </w:pBdr>
        <w:spacing w:after="80" w:before="80"/>
        <w:ind w:left="360"/>
      </w:pPr>
      <w:r>
        <w:rPr>
          <w:rFonts w:ascii="Arial" w:cs="Arial" w:eastAsia="Arial" w:hAnsi="Arial"/>
          <w:i/>
          <w:iCs/>
          <w:color w:val="404040"/>
          <w:sz w:val="20"/>
          <w:szCs w:val="20"/>
        </w:rPr>
        <w:t xml:space="preserve">Linked at domain root. Password policies only apply when linked at this level.</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2500"/>
        <w:gridCol w:w="4360"/>
      </w:tblGrid>
      <w:tr>
        <w:trPr>
          <w:tblHeader/>
        </w:trPr>
        <w:tc>
          <w:tcPr>
            <w:tcBorders>
              <w:top w:val="single" w:color="1F4E79" w:sz="1"/>
              <w:left w:val="single" w:color="1F4E79" w:sz="1"/>
              <w:bottom w:val="single" w:color="1F4E79" w:sz="1"/>
              <w:right w:val="single" w:color="1F4E79" w:sz="1"/>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Setting</w:t>
            </w:r>
          </w:p>
        </w:tc>
        <w:tc>
          <w:tcPr>
            <w:tcBorders>
              <w:top w:val="single" w:color="1F4E79" w:sz="1"/>
              <w:left w:val="single" w:color="1F4E79" w:sz="1"/>
              <w:bottom w:val="single" w:color="1F4E79" w:sz="1"/>
              <w:right w:val="single" w:color="1F4E79" w:sz="1"/>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Value</w:t>
            </w:r>
          </w:p>
        </w:tc>
        <w:tc>
          <w:tcPr>
            <w:tcBorders>
              <w:top w:val="single" w:color="1F4E79" w:sz="1"/>
              <w:left w:val="single" w:color="1F4E79" w:sz="1"/>
              <w:bottom w:val="single" w:color="1F4E79" w:sz="1"/>
              <w:right w:val="single" w:color="1F4E79" w:sz="1"/>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HIPAA Rationale</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Minimum password length</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12 characters</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NIST 800-63 requirement</w:t>
            </w:r>
          </w:p>
        </w:tc>
      </w:tr>
      <w:tr>
        <w:tc>
          <w:tcPr>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8"/>
                <w:szCs w:val="18"/>
              </w:rPr>
              <w:t xml:space="preserve">Password complexity</w:t>
            </w:r>
          </w:p>
        </w:tc>
        <w:tc>
          <w:tcPr>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8"/>
                <w:szCs w:val="18"/>
              </w:rPr>
              <w:t xml:space="preserve">Enabled</w:t>
            </w:r>
          </w:p>
        </w:tc>
        <w:tc>
          <w:tcPr>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8"/>
                <w:szCs w:val="18"/>
              </w:rPr>
              <w:t xml:space="preserve">Reduces brute force risk</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Maximum password age</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90 days</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Regular rotation reduces breach risk</w:t>
            </w:r>
          </w:p>
        </w:tc>
      </w:tr>
      <w:tr>
        <w:tc>
          <w:tcPr>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8"/>
                <w:szCs w:val="18"/>
              </w:rPr>
              <w:t xml:space="preserve">Minimum password age</w:t>
            </w:r>
          </w:p>
        </w:tc>
        <w:tc>
          <w:tcPr>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8"/>
                <w:szCs w:val="18"/>
              </w:rPr>
              <w:t xml:space="preserve">1 day</w:t>
            </w:r>
          </w:p>
        </w:tc>
        <w:tc>
          <w:tcPr>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8"/>
                <w:szCs w:val="18"/>
              </w:rPr>
              <w:t xml:space="preserve">Prevents immediate reuse</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Password history</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10 passwords</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Prevents cycling back to old passwords</w:t>
            </w:r>
          </w:p>
        </w:tc>
      </w:tr>
      <w:tr>
        <w:tc>
          <w:tcPr>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8"/>
                <w:szCs w:val="18"/>
              </w:rPr>
              <w:t xml:space="preserve">Account lockout threshold</w:t>
            </w:r>
          </w:p>
        </w:tc>
        <w:tc>
          <w:tcPr>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8"/>
                <w:szCs w:val="18"/>
              </w:rPr>
              <w:t xml:space="preserve">5 attempts</w:t>
            </w:r>
          </w:p>
        </w:tc>
        <w:tc>
          <w:tcPr>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8"/>
                <w:szCs w:val="18"/>
              </w:rPr>
              <w:t xml:space="preserve">Prevents brute force attacks</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Account lockout duration</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30 minutes</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Reduces attack window</w:t>
            </w:r>
          </w:p>
        </w:tc>
      </w:tr>
      <w:tr>
        <w:tc>
          <w:tcPr>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8"/>
                <w:szCs w:val="18"/>
              </w:rPr>
              <w:t xml:space="preserve">Reset lockout counter</w:t>
            </w:r>
          </w:p>
        </w:tc>
        <w:tc>
          <w:tcPr>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8"/>
                <w:szCs w:val="18"/>
              </w:rPr>
              <w:t xml:space="preserve">30 minutes</w:t>
            </w:r>
          </w:p>
        </w:tc>
        <w:tc>
          <w:tcPr>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8"/>
                <w:szCs w:val="18"/>
              </w:rPr>
              <w:t xml:space="preserve">Standard security practice</w:t>
            </w:r>
          </w:p>
        </w:tc>
      </w:tr>
    </w:tbl>
    <w:p>
      <w:pPr>
        <w:spacing w:after="80" w:before="80"/>
      </w:pPr>
      <w:r>
        <w:t xml:space="preserve"/>
      </w:r>
    </w:p>
    <w:p>
      <w:pPr>
        <w:pStyle w:val="Heading2"/>
        <w:spacing w:after="80" w:before="240"/>
      </w:pPr>
      <w:r>
        <w:rPr>
          <w:rFonts w:ascii="Arial" w:cs="Arial" w:eastAsia="Arial" w:hAnsi="Arial"/>
          <w:b/>
          <w:bCs/>
          <w:color w:val="2E75B6"/>
          <w:sz w:val="26"/>
          <w:szCs w:val="26"/>
        </w:rPr>
        <w:t xml:space="preserve">IT Baseline — NEH-IT-Baseline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Setting</w:t>
            </w:r>
          </w:p>
        </w:tc>
        <w:tc>
          <w:tcPr>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Purpose</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Audit account management — Success/Failure</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Logs all account changes</w:t>
            </w:r>
          </w:p>
        </w:tc>
      </w:tr>
      <w:tr>
        <w:tc>
          <w:tcPr>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8"/>
                <w:szCs w:val="18"/>
              </w:rPr>
              <w:t xml:space="preserve">Audit logon events — Success/Failure</w:t>
            </w:r>
          </w:p>
        </w:tc>
        <w:tc>
          <w:tcPr>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8"/>
                <w:szCs w:val="18"/>
              </w:rPr>
              <w:t xml:space="preserve">Logs all login attempts</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Audit directory service access — Success/Failure</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Logs AD object access</w:t>
            </w:r>
          </w:p>
        </w:tc>
      </w:tr>
      <w:tr>
        <w:tc>
          <w:tcPr>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8"/>
                <w:szCs w:val="18"/>
              </w:rPr>
              <w:t xml:space="preserve">HIPAA logon warning message</w:t>
            </w:r>
          </w:p>
        </w:tc>
        <w:tc>
          <w:tcPr>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8"/>
                <w:szCs w:val="18"/>
              </w:rPr>
              <w:t xml:space="preserve">Legal notice before login</w:t>
            </w:r>
          </w:p>
        </w:tc>
      </w:tr>
    </w:tbl>
    <w:p>
      <w:pPr>
        <w:spacing w:after="80" w:before="80"/>
      </w:pPr>
      <w:r>
        <w:t xml:space="preserve"/>
      </w:r>
    </w:p>
    <w:p>
      <w:pPr>
        <w:pStyle w:val="Heading2"/>
        <w:spacing w:after="80" w:before="240"/>
      </w:pPr>
      <w:r>
        <w:rPr>
          <w:rFonts w:ascii="Arial" w:cs="Arial" w:eastAsia="Arial" w:hAnsi="Arial"/>
          <w:b/>
          <w:bCs/>
          <w:color w:val="2E75B6"/>
          <w:sz w:val="26"/>
          <w:szCs w:val="26"/>
        </w:rPr>
        <w:t xml:space="preserve">Helpdesk Policy — NEH-IT-Helpdesk-Policy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Setting</w:t>
            </w:r>
          </w:p>
        </w:tc>
        <w:tc>
          <w:tcPr>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Purpose</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Block PowerShell and PowerShell ISE</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Helpdesk has no scripting need</w:t>
            </w:r>
          </w:p>
        </w:tc>
      </w:tr>
      <w:tr>
        <w:tc>
          <w:tcPr>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8"/>
                <w:szCs w:val="18"/>
              </w:rPr>
              <w:t xml:space="preserve">Block Registry Editor</w:t>
            </w:r>
          </w:p>
        </w:tc>
        <w:tc>
          <w:tcPr>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8"/>
                <w:szCs w:val="18"/>
              </w:rPr>
              <w:t xml:space="preserve">Prevent system tampering</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Block Control Panel</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Prevent system configuration changes</w:t>
            </w:r>
          </w:p>
        </w:tc>
      </w:tr>
      <w:tr>
        <w:tc>
          <w:tcPr>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8"/>
                <w:szCs w:val="18"/>
              </w:rPr>
              <w:t xml:space="preserve">Screensaver timeout — 15 minutes</w:t>
            </w:r>
          </w:p>
        </w:tc>
        <w:tc>
          <w:tcPr>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8"/>
                <w:szCs w:val="18"/>
              </w:rPr>
              <w:t xml:space="preserve">HIPAA automatic logoff requirement</w:t>
            </w:r>
          </w:p>
        </w:tc>
      </w:tr>
    </w:tbl>
    <w:p>
      <w:pPr>
        <w:spacing w:after="80" w:before="80"/>
      </w:pPr>
      <w:r>
        <w:t xml:space="preserve"/>
      </w:r>
    </w:p>
    <w:p>
      <w:pPr>
        <w:pStyle w:val="Heading2"/>
        <w:spacing w:after="80" w:before="240"/>
      </w:pPr>
      <w:r>
        <w:rPr>
          <w:rFonts w:ascii="Arial" w:cs="Arial" w:eastAsia="Arial" w:hAnsi="Arial"/>
          <w:b/>
          <w:bCs/>
          <w:color w:val="2E75B6"/>
          <w:sz w:val="26"/>
          <w:szCs w:val="26"/>
        </w:rPr>
        <w:t xml:space="preserve">Clinical Baseline — NEH-Clinical-Baseline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Setting</w:t>
            </w:r>
          </w:p>
        </w:tc>
        <w:tc>
          <w:tcPr>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Purpose</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HIPAA clinical logon warning message</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Legal notice for PHI systems</w:t>
            </w:r>
          </w:p>
        </w:tc>
      </w:tr>
      <w:tr>
        <w:tc>
          <w:tcPr>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8"/>
                <w:szCs w:val="18"/>
              </w:rPr>
              <w:t xml:space="preserve">Block USB drives</w:t>
            </w:r>
          </w:p>
        </w:tc>
        <w:tc>
          <w:tcPr>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8"/>
                <w:szCs w:val="18"/>
              </w:rPr>
              <w:t xml:space="preserve">Prevent PHI data exfiltration</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Block Registry Editor</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Prevent system tampering</w:t>
            </w:r>
          </w:p>
        </w:tc>
      </w:tr>
      <w:tr>
        <w:tc>
          <w:tcPr>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8"/>
                <w:szCs w:val="18"/>
              </w:rPr>
              <w:t xml:space="preserve">Audit logon events — Success/Failure</w:t>
            </w:r>
          </w:p>
        </w:tc>
        <w:tc>
          <w:tcPr>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8"/>
                <w:szCs w:val="18"/>
              </w:rPr>
              <w:t xml:space="preserve">HIPAA audit control requirement</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Screensaver timeout — 10 minutes</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HIPAA automatic logoff requirement</w:t>
            </w:r>
          </w:p>
        </w:tc>
      </w:tr>
    </w:tbl>
    <w:p>
      <w:pPr>
        <w:spacing w:after="80" w:before="80"/>
      </w:pPr>
      <w:r>
        <w:t xml:space="preserve"/>
      </w:r>
    </w:p>
    <w:p>
      <w:pPr>
        <w:pStyle w:val="Heading2"/>
        <w:spacing w:after="80" w:before="240"/>
      </w:pPr>
      <w:r>
        <w:rPr>
          <w:rFonts w:ascii="Arial" w:cs="Arial" w:eastAsia="Arial" w:hAnsi="Arial"/>
          <w:b/>
          <w:bCs/>
          <w:color w:val="2E75B6"/>
          <w:sz w:val="26"/>
          <w:szCs w:val="26"/>
        </w:rPr>
        <w:t xml:space="preserve">External Policy — NEH-Contractors-Policy and NEH-Vendors-Policy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Setting</w:t>
            </w:r>
          </w:p>
        </w:tc>
        <w:tc>
          <w:tcPr>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Purpose</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External staff logon warning message</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Legal notice for external access</w:t>
            </w:r>
          </w:p>
        </w:tc>
      </w:tr>
      <w:tr>
        <w:tc>
          <w:tcPr>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8"/>
                <w:szCs w:val="18"/>
              </w:rPr>
              <w:t xml:space="preserve">Block PowerShell and CMD</w:t>
            </w:r>
          </w:p>
        </w:tc>
        <w:tc>
          <w:tcPr>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8"/>
                <w:szCs w:val="18"/>
              </w:rPr>
              <w:t xml:space="preserve">No scripting access for external staff</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Block Control Panel</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No system configuration access</w:t>
            </w:r>
          </w:p>
        </w:tc>
      </w:tr>
      <w:tr>
        <w:tc>
          <w:tcPr>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8"/>
                <w:szCs w:val="18"/>
              </w:rPr>
              <w:t xml:space="preserve">Block Registry Editor</w:t>
            </w:r>
          </w:p>
        </w:tc>
        <w:tc>
          <w:tcPr>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8"/>
                <w:szCs w:val="18"/>
              </w:rPr>
              <w:t xml:space="preserve">No system tampering</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Block USB drives</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No data removal from hospital network</w:t>
            </w:r>
          </w:p>
        </w:tc>
      </w:tr>
      <w:tr>
        <w:tc>
          <w:tcPr>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8"/>
                <w:szCs w:val="18"/>
              </w:rPr>
              <w:t xml:space="preserve">Remove Run menu</w:t>
            </w:r>
          </w:p>
        </w:tc>
        <w:tc>
          <w:tcPr>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8"/>
                <w:szCs w:val="18"/>
              </w:rPr>
              <w:t xml:space="preserve">Close additional launch vectors</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Screensaver — 5 min (contractors) / 3 min (vendors)</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Stricter timeout for external accounts</w:t>
            </w:r>
          </w:p>
        </w:tc>
      </w:tr>
      <w:tr>
        <w:tc>
          <w:tcPr>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8"/>
                <w:szCs w:val="18"/>
              </w:rPr>
              <w:t xml:space="preserve">Block Task Manager (vendors only)</w:t>
            </w:r>
          </w:p>
        </w:tc>
        <w:tc>
          <w:tcPr>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8"/>
                <w:szCs w:val="18"/>
              </w:rPr>
              <w:t xml:space="preserve">Maximum restriction for vendor accounts</w:t>
            </w:r>
          </w:p>
        </w:tc>
      </w:tr>
    </w:tbl>
    <w:p>
      <w:r>
        <w:br w:type="page"/>
      </w:r>
    </w:p>
    <w:p>
      <w:pPr>
        <w:pStyle w:val="Heading1"/>
        <w:spacing w:after="120" w:before="360"/>
      </w:pPr>
      <w:r>
        <w:rPr>
          <w:rFonts w:ascii="Arial" w:cs="Arial" w:eastAsia="Arial" w:hAnsi="Arial"/>
          <w:b/>
          <w:bCs/>
          <w:color w:val="1F4E79"/>
          <w:sz w:val="32"/>
          <w:szCs w:val="32"/>
        </w:rPr>
        <w:t xml:space="preserve">Active Directory Delegation</w:t>
      </w:r>
    </w:p>
    <w:p>
      <w:pPr>
        <w:pStyle w:val="Heading2"/>
        <w:spacing w:after="80" w:before="240"/>
      </w:pPr>
      <w:r>
        <w:rPr>
          <w:rFonts w:ascii="Arial" w:cs="Arial" w:eastAsia="Arial" w:hAnsi="Arial"/>
          <w:b/>
          <w:bCs/>
          <w:color w:val="2E75B6"/>
          <w:sz w:val="26"/>
          <w:szCs w:val="26"/>
        </w:rPr>
        <w:t xml:space="preserve">Overview</w:t>
      </w:r>
    </w:p>
    <w:p>
      <w:pPr>
        <w:spacing w:after="60" w:before="60"/>
      </w:pPr>
      <w:r>
        <w:rPr>
          <w:rFonts w:ascii="Arial" w:cs="Arial" w:eastAsia="Arial" w:hAnsi="Arial"/>
          <w:sz w:val="20"/>
          <w:szCs w:val="20"/>
        </w:rPr>
        <w:t xml:space="preserve">Delegation grants security groups specific permissions over AD objects without requiring Domain Admin rights. This aligns with HIPAA minimum necessary access — each group only gets what they need to perform their job function.</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Security Group</w:t>
            </w:r>
          </w:p>
        </w:tc>
        <w:tc>
          <w:tcPr>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Delegated Permissions</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GRP-IT-Support</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Reset user passwords, force password change at next logon</w:t>
            </w:r>
          </w:p>
        </w:tc>
      </w:tr>
      <w:tr>
        <w:tc>
          <w:tcPr>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8"/>
                <w:szCs w:val="18"/>
              </w:rPr>
              <w:t xml:space="preserve">GRP-IT-Admins</w:t>
            </w:r>
          </w:p>
        </w:tc>
        <w:tc>
          <w:tcPr>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8"/>
                <w:szCs w:val="18"/>
              </w:rPr>
              <w:t xml:space="preserve">Create/delete/manage users, reset passwords, read all user info, manage groups</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GRP-HR-Manager</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Read all user information</w:t>
            </w:r>
          </w:p>
        </w:tc>
      </w:tr>
      <w:tr>
        <w:tc>
          <w:tcPr>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8"/>
                <w:szCs w:val="18"/>
              </w:rPr>
              <w:t xml:space="preserve">GRP-HR-Staff</w:t>
            </w:r>
          </w:p>
        </w:tc>
        <w:tc>
          <w:tcPr>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8"/>
                <w:szCs w:val="18"/>
              </w:rPr>
              <w:t xml:space="preserve">Read all user information</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GRP-Billing-Manager</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Read all user information</w:t>
            </w:r>
          </w:p>
        </w:tc>
      </w:tr>
      <w:tr>
        <w:tc>
          <w:tcPr>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8"/>
                <w:szCs w:val="18"/>
              </w:rPr>
              <w:t xml:space="preserve">GRP-Billing-Staff</w:t>
            </w:r>
          </w:p>
        </w:tc>
        <w:tc>
          <w:tcPr>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8"/>
                <w:szCs w:val="18"/>
              </w:rPr>
              <w:t xml:space="preserve">Read all user information</w:t>
            </w:r>
          </w:p>
        </w:tc>
      </w:tr>
    </w:tbl>
    <w:p>
      <w:r>
        <w:br w:type="page"/>
      </w:r>
    </w:p>
    <w:p>
      <w:pPr>
        <w:pStyle w:val="Heading1"/>
        <w:spacing w:after="120" w:before="360"/>
      </w:pPr>
      <w:r>
        <w:rPr>
          <w:rFonts w:ascii="Arial" w:cs="Arial" w:eastAsia="Arial" w:hAnsi="Arial"/>
          <w:b/>
          <w:bCs/>
          <w:color w:val="1F4E79"/>
          <w:sz w:val="32"/>
          <w:szCs w:val="32"/>
        </w:rPr>
        <w:t xml:space="preserve">Shared Drive Configuration</w:t>
      </w:r>
    </w:p>
    <w:p>
      <w:pPr>
        <w:pStyle w:val="Heading2"/>
        <w:spacing w:after="80" w:before="240"/>
      </w:pPr>
      <w:r>
        <w:rPr>
          <w:rFonts w:ascii="Arial" w:cs="Arial" w:eastAsia="Arial" w:hAnsi="Arial"/>
          <w:b/>
          <w:bCs/>
          <w:color w:val="2E75B6"/>
          <w:sz w:val="26"/>
          <w:szCs w:val="26"/>
        </w:rPr>
        <w:t xml:space="preserve">Drive Mapping Overview</w:t>
      </w:r>
    </w:p>
    <w:p>
      <w:pPr>
        <w:spacing w:after="60" w:before="60"/>
      </w:pPr>
      <w:r>
        <w:rPr>
          <w:rFonts w:ascii="Arial" w:cs="Arial" w:eastAsia="Arial" w:hAnsi="Arial"/>
          <w:sz w:val="20"/>
          <w:szCs w:val="20"/>
        </w:rPr>
        <w:t xml:space="preserve">Shared drives are automatically mapped to users via Group Policy Drive Maps. Users see their department drive in File Explorer when they log in — no manual path entry required.</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Share Path</w:t>
            </w:r>
          </w:p>
        </w:tc>
        <w:tc>
          <w:tcPr>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Access Group</w:t>
            </w:r>
          </w:p>
        </w:tc>
        <w:tc>
          <w:tcPr>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Permission</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\\NEH01\NEH-IT-Support</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GRP-IT-Support</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Read</w:t>
            </w:r>
          </w:p>
        </w:tc>
      </w:tr>
      <w:tr>
        <w:tc>
          <w:tcPr>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8"/>
                <w:szCs w:val="18"/>
              </w:rPr>
              <w:t xml:space="preserve">\\NEH01\NEH-IT-Admins</w:t>
            </w:r>
          </w:p>
        </w:tc>
        <w:tc>
          <w:tcPr>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8"/>
                <w:szCs w:val="18"/>
              </w:rPr>
              <w:t xml:space="preserve">GRP-IT-Admins</w:t>
            </w:r>
          </w:p>
        </w:tc>
        <w:tc>
          <w:tcPr>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8"/>
                <w:szCs w:val="18"/>
              </w:rPr>
              <w:t xml:space="preserve">Full Control</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\\NEH01\NEH-IT-Server-Admins</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GRP-IT-Server-Admins</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Full Control</w:t>
            </w:r>
          </w:p>
        </w:tc>
      </w:tr>
      <w:tr>
        <w:tc>
          <w:tcPr>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8"/>
                <w:szCs w:val="18"/>
              </w:rPr>
              <w:t xml:space="preserve">\\NEH01\NEH-IT-Network</w:t>
            </w:r>
          </w:p>
        </w:tc>
        <w:tc>
          <w:tcPr>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8"/>
                <w:szCs w:val="18"/>
              </w:rPr>
              <w:t xml:space="preserve">GRP-IT-Network</w:t>
            </w:r>
          </w:p>
        </w:tc>
        <w:tc>
          <w:tcPr>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8"/>
                <w:szCs w:val="18"/>
              </w:rPr>
              <w:t xml:space="preserve">Full Control</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\\NEH01\NEH-HR</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GRP-HR-Manager, GRP-HR-Staff</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Full Control / Read</w:t>
            </w:r>
          </w:p>
        </w:tc>
      </w:tr>
      <w:tr>
        <w:tc>
          <w:tcPr>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8"/>
                <w:szCs w:val="18"/>
              </w:rPr>
              <w:t xml:space="preserve">\\NEH01\NEH-Billing</w:t>
            </w:r>
          </w:p>
        </w:tc>
        <w:tc>
          <w:tcPr>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8"/>
                <w:szCs w:val="18"/>
              </w:rPr>
              <w:t xml:space="preserve">GRP-Billing-Manager, GRP-Billing-Staff</w:t>
            </w:r>
          </w:p>
        </w:tc>
        <w:tc>
          <w:tcPr>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8"/>
                <w:szCs w:val="18"/>
              </w:rPr>
              <w:t xml:space="preserve">Full Control / Read</w:t>
            </w:r>
          </w:p>
        </w:tc>
      </w:tr>
    </w:tbl>
    <w:p>
      <w:pPr>
        <w:spacing w:after="80" w:before="80"/>
      </w:pPr>
      <w:r>
        <w:t xml:space="preserve"/>
      </w:r>
    </w:p>
    <w:p>
      <w:pPr>
        <w:pBdr>
          <w:left w:val="single" w:color="2E75B6" w:sz="6" w:space="1"/>
        </w:pBdr>
        <w:spacing w:after="80" w:before="80"/>
        <w:ind w:left="360"/>
      </w:pPr>
      <w:r>
        <w:rPr>
          <w:rFonts w:ascii="Arial" w:cs="Arial" w:eastAsia="Arial" w:hAnsi="Arial"/>
          <w:i/>
          <w:iCs/>
          <w:color w:val="404040"/>
          <w:sz w:val="20"/>
          <w:szCs w:val="20"/>
        </w:rPr>
        <w:t xml:space="preserve">Helpdesk has Read-only access to IT-Support share — they can view procedures and documentation but cannot modify files. This aligns with least privilege principle.</w:t>
      </w:r>
    </w:p>
    <w:p>
      <w:r>
        <w:br w:type="page"/>
      </w:r>
    </w:p>
    <w:p>
      <w:pPr>
        <w:pStyle w:val="Heading1"/>
        <w:spacing w:after="120" w:before="360"/>
      </w:pPr>
      <w:r>
        <w:rPr>
          <w:rFonts w:ascii="Arial" w:cs="Arial" w:eastAsia="Arial" w:hAnsi="Arial"/>
          <w:b/>
          <w:bCs/>
          <w:color w:val="1F4E79"/>
          <w:sz w:val="32"/>
          <w:szCs w:val="32"/>
        </w:rPr>
        <w:t xml:space="preserve">Hybrid Identity — Entra Connect</w:t>
      </w:r>
    </w:p>
    <w:p>
      <w:pPr>
        <w:pStyle w:val="Heading2"/>
        <w:spacing w:after="80" w:before="240"/>
      </w:pPr>
      <w:r>
        <w:rPr>
          <w:rFonts w:ascii="Arial" w:cs="Arial" w:eastAsia="Arial" w:hAnsi="Arial"/>
          <w:b/>
          <w:bCs/>
          <w:color w:val="2E75B6"/>
          <w:sz w:val="26"/>
          <w:szCs w:val="26"/>
        </w:rPr>
        <w:t xml:space="preserve">Overview</w:t>
      </w:r>
    </w:p>
    <w:p>
      <w:pPr>
        <w:spacing w:after="60" w:before="60"/>
      </w:pPr>
      <w:r>
        <w:rPr>
          <w:rFonts w:ascii="Arial" w:cs="Arial" w:eastAsia="Arial" w:hAnsi="Arial"/>
          <w:sz w:val="20"/>
          <w:szCs w:val="20"/>
        </w:rPr>
        <w:t xml:space="preserve">Microsoft Entra Connect synchronizes on-premises Active Directory objects to Entra ID (Azure AD). This creates a hybrid identity environment where users have one identity that works for both on-prem resources and cloud applications.</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Sync Direction</w:t>
            </w:r>
          </w:p>
        </w:tc>
        <w:tc>
          <w:tcPr>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Details</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On-prem to Cloud</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Users, Groups synced from NEH.local to Entra ID</w:t>
            </w:r>
          </w:p>
        </w:tc>
      </w:tr>
      <w:tr>
        <w:tc>
          <w:tcPr>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8"/>
                <w:szCs w:val="18"/>
              </w:rPr>
              <w:t xml:space="preserve">Sync Method</w:t>
            </w:r>
          </w:p>
        </w:tc>
        <w:tc>
          <w:tcPr>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8"/>
                <w:szCs w:val="18"/>
              </w:rPr>
              <w:t xml:space="preserve">Password Hash Synchronization</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Sync Frequency</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Every 30 minutes (default)</w:t>
            </w:r>
          </w:p>
        </w:tc>
      </w:tr>
      <w:tr>
        <w:tc>
          <w:tcPr>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8"/>
                <w:szCs w:val="18"/>
              </w:rPr>
              <w:t xml:space="preserve">Hybrid Join</w:t>
            </w:r>
          </w:p>
        </w:tc>
        <w:tc>
          <w:tcPr>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8"/>
                <w:szCs w:val="18"/>
              </w:rPr>
              <w:t xml:space="preserve">Windows 11 workstation joined to both NEH.local and Entra ID</w:t>
            </w:r>
          </w:p>
        </w:tc>
      </w:tr>
    </w:tbl>
    <w:p>
      <w:pPr>
        <w:spacing w:after="80" w:before="80"/>
      </w:pPr>
      <w:r>
        <w:t xml:space="preserve"/>
      </w:r>
    </w:p>
    <w:p>
      <w:pPr>
        <w:pStyle w:val="Heading2"/>
        <w:spacing w:after="80" w:before="240"/>
      </w:pPr>
      <w:r>
        <w:rPr>
          <w:rFonts w:ascii="Arial" w:cs="Arial" w:eastAsia="Arial" w:hAnsi="Arial"/>
          <w:b/>
          <w:bCs/>
          <w:color w:val="2E75B6"/>
          <w:sz w:val="26"/>
          <w:szCs w:val="26"/>
        </w:rPr>
        <w:t xml:space="preserve">What Gets Synced</w:t>
      </w:r>
    </w:p>
    <w:p>
      <w:pPr>
        <w:pStyle w:val="ListParagraph"/>
        <w:numPr>
          <w:ilvl w:val="0"/>
          <w:numId w:val="2"/>
        </w:numPr>
        <w:spacing w:after="40" w:before="40"/>
      </w:pPr>
      <w:r>
        <w:rPr>
          <w:rFonts w:ascii="Arial" w:cs="Arial" w:eastAsia="Arial" w:hAnsi="Arial"/>
          <w:sz w:val="20"/>
          <w:szCs w:val="20"/>
        </w:rPr>
        <w:t xml:space="preserve">All user accounts from NEH-Users OU</w:t>
      </w:r>
    </w:p>
    <w:p>
      <w:pPr>
        <w:pStyle w:val="ListParagraph"/>
        <w:numPr>
          <w:ilvl w:val="0"/>
          <w:numId w:val="2"/>
        </w:numPr>
        <w:spacing w:after="40" w:before="40"/>
      </w:pPr>
      <w:r>
        <w:rPr>
          <w:rFonts w:ascii="Arial" w:cs="Arial" w:eastAsia="Arial" w:hAnsi="Arial"/>
          <w:sz w:val="20"/>
          <w:szCs w:val="20"/>
        </w:rPr>
        <w:t xml:space="preserve">All security groups and their memberships</w:t>
      </w:r>
    </w:p>
    <w:p>
      <w:pPr>
        <w:pStyle w:val="ListParagraph"/>
        <w:numPr>
          <w:ilvl w:val="0"/>
          <w:numId w:val="2"/>
        </w:numPr>
        <w:spacing w:after="40" w:before="40"/>
      </w:pPr>
      <w:r>
        <w:rPr>
          <w:rFonts w:ascii="Arial" w:cs="Arial" w:eastAsia="Arial" w:hAnsi="Arial"/>
          <w:sz w:val="20"/>
          <w:szCs w:val="20"/>
        </w:rPr>
        <w:t xml:space="preserve">User attributes — name, title, department, email</w:t>
      </w:r>
    </w:p>
    <w:p>
      <w:pPr>
        <w:pStyle w:val="ListParagraph"/>
        <w:numPr>
          <w:ilvl w:val="0"/>
          <w:numId w:val="2"/>
        </w:numPr>
        <w:spacing w:after="40" w:before="40"/>
      </w:pPr>
      <w:r>
        <w:rPr>
          <w:rFonts w:ascii="Arial" w:cs="Arial" w:eastAsia="Arial" w:hAnsi="Arial"/>
          <w:sz w:val="20"/>
          <w:szCs w:val="20"/>
        </w:rPr>
        <w:t xml:space="preserve">Account status — enabled/disabled</w:t>
      </w:r>
    </w:p>
    <w:p>
      <w:pPr>
        <w:pStyle w:val="ListParagraph"/>
        <w:numPr>
          <w:ilvl w:val="0"/>
          <w:numId w:val="2"/>
        </w:numPr>
        <w:spacing w:after="40" w:before="40"/>
      </w:pPr>
      <w:r>
        <w:rPr>
          <w:rFonts w:ascii="Arial" w:cs="Arial" w:eastAsia="Arial" w:hAnsi="Arial"/>
          <w:sz w:val="20"/>
          <w:szCs w:val="20"/>
        </w:rPr>
        <w:t xml:space="preserve">Password hashes for cloud authentication</w:t>
      </w:r>
    </w:p>
    <w:p>
      <w:r>
        <w:br w:type="page"/>
      </w:r>
    </w:p>
    <w:p>
      <w:pPr>
        <w:pStyle w:val="Heading1"/>
        <w:spacing w:after="120" w:before="360"/>
      </w:pPr>
      <w:r>
        <w:rPr>
          <w:rFonts w:ascii="Arial" w:cs="Arial" w:eastAsia="Arial" w:hAnsi="Arial"/>
          <w:b/>
          <w:bCs/>
          <w:color w:val="1F4E79"/>
          <w:sz w:val="32"/>
          <w:szCs w:val="32"/>
        </w:rPr>
        <w:t xml:space="preserve">Conditional Access Policies</w:t>
      </w:r>
    </w:p>
    <w:p>
      <w:pPr>
        <w:pStyle w:val="Heading2"/>
        <w:spacing w:after="80" w:before="240"/>
      </w:pPr>
      <w:r>
        <w:rPr>
          <w:rFonts w:ascii="Arial" w:cs="Arial" w:eastAsia="Arial" w:hAnsi="Arial"/>
          <w:b/>
          <w:bCs/>
          <w:color w:val="2E75B6"/>
          <w:sz w:val="26"/>
          <w:szCs w:val="26"/>
        </w:rPr>
        <w:t xml:space="preserve">Overview</w:t>
      </w:r>
    </w:p>
    <w:p>
      <w:pPr>
        <w:spacing w:after="60" w:before="60"/>
      </w:pPr>
      <w:r>
        <w:rPr>
          <w:rFonts w:ascii="Arial" w:cs="Arial" w:eastAsia="Arial" w:hAnsi="Arial"/>
          <w:sz w:val="20"/>
          <w:szCs w:val="20"/>
        </w:rPr>
        <w:t xml:space="preserve">Conditional Access enforces Zero Trust principles by evaluating every sign-in against defined conditions before granting access. All policies are configured in Microsoft Entra ID and apply to cloud application access.</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Policy Name</w:t>
            </w:r>
          </w:p>
        </w:tc>
        <w:tc>
          <w:tcPr>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Purpose</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NEH-MFA-All-Users</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Require MFA for all hospital staff on all cloud apps</w:t>
            </w:r>
          </w:p>
        </w:tc>
      </w:tr>
      <w:tr>
        <w:tc>
          <w:tcPr>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8"/>
                <w:szCs w:val="18"/>
              </w:rPr>
              <w:t xml:space="preserve">NEH-Block-Legacy-Auth</w:t>
            </w:r>
          </w:p>
        </w:tc>
        <w:tc>
          <w:tcPr>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8"/>
                <w:szCs w:val="18"/>
              </w:rPr>
              <w:t xml:space="preserve">Block legacy authentication protocols that bypass MFA</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NEH-MFA-IT-Admins</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Require MFA + 4-hour session limit for IT Admins</w:t>
            </w:r>
          </w:p>
        </w:tc>
      </w:tr>
      <w:tr>
        <w:tc>
          <w:tcPr>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8"/>
                <w:szCs w:val="18"/>
              </w:rPr>
              <w:t xml:space="preserve">NEH-Block-Outside-Network</w:t>
            </w:r>
          </w:p>
        </w:tc>
        <w:tc>
          <w:tcPr>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8"/>
                <w:szCs w:val="18"/>
              </w:rPr>
              <w:t xml:space="preserve">Block access from outside hospital network IP range</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NEH-External-Restrictions</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MFA + 1-hour session for contractors and vendors</w:t>
            </w:r>
          </w:p>
        </w:tc>
      </w:tr>
      <w:tr>
        <w:tc>
          <w:tcPr>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8"/>
                <w:szCs w:val="18"/>
              </w:rPr>
              <w:t xml:space="preserve">NEH-User-Risk-Policy</w:t>
            </w:r>
          </w:p>
        </w:tc>
        <w:tc>
          <w:tcPr>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8"/>
                <w:szCs w:val="18"/>
              </w:rPr>
              <w:t xml:space="preserve">High risk users must MFA and change password</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NEH-Sign-In-Risk-Policy</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Medium/High risk sign-ins require MFA</w:t>
            </w:r>
          </w:p>
        </w:tc>
      </w:tr>
    </w:tbl>
    <w:p>
      <w:pPr>
        <w:spacing w:after="80" w:before="80"/>
      </w:pPr>
      <w:r>
        <w:t xml:space="preserve"/>
      </w:r>
    </w:p>
    <w:p>
      <w:pPr>
        <w:pStyle w:val="Heading2"/>
        <w:spacing w:after="80" w:before="240"/>
      </w:pPr>
      <w:r>
        <w:rPr>
          <w:rFonts w:ascii="Arial" w:cs="Arial" w:eastAsia="Arial" w:hAnsi="Arial"/>
          <w:b/>
          <w:bCs/>
          <w:color w:val="2E75B6"/>
          <w:sz w:val="26"/>
          <w:szCs w:val="26"/>
        </w:rPr>
        <w:t xml:space="preserve">Policy Details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2500"/>
        <w:gridCol w:w="4360"/>
      </w:tblGrid>
      <w:tr>
        <w:trPr>
          <w:tblHeader/>
        </w:trPr>
        <w:tc>
          <w:tcPr>
            <w:tcBorders>
              <w:top w:val="single" w:color="1F4E79" w:sz="1"/>
              <w:left w:val="single" w:color="1F4E79" w:sz="1"/>
              <w:bottom w:val="single" w:color="1F4E79" w:sz="1"/>
              <w:right w:val="single" w:color="1F4E79" w:sz="1"/>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Policy</w:t>
            </w:r>
          </w:p>
        </w:tc>
        <w:tc>
          <w:tcPr>
            <w:tcBorders>
              <w:top w:val="single" w:color="1F4E79" w:sz="1"/>
              <w:left w:val="single" w:color="1F4E79" w:sz="1"/>
              <w:bottom w:val="single" w:color="1F4E79" w:sz="1"/>
              <w:right w:val="single" w:color="1F4E79" w:sz="1"/>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Conditions</w:t>
            </w:r>
          </w:p>
        </w:tc>
        <w:tc>
          <w:tcPr>
            <w:tcBorders>
              <w:top w:val="single" w:color="1F4E79" w:sz="1"/>
              <w:left w:val="single" w:color="1F4E79" w:sz="1"/>
              <w:bottom w:val="single" w:color="1F4E79" w:sz="1"/>
              <w:right w:val="single" w:color="1F4E79" w:sz="1"/>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Controls</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NEH-MFA-All-Users</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All users, all cloud apps</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Require MFA</w:t>
            </w:r>
          </w:p>
        </w:tc>
      </w:tr>
      <w:tr>
        <w:tc>
          <w:tcPr>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8"/>
                <w:szCs w:val="18"/>
              </w:rPr>
              <w:t xml:space="preserve">NEH-Block-Legacy-Auth</w:t>
            </w:r>
          </w:p>
        </w:tc>
        <w:tc>
          <w:tcPr>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8"/>
                <w:szCs w:val="18"/>
              </w:rPr>
              <w:t xml:space="preserve">All users, Exchange ActiveSync + Other clients</w:t>
            </w:r>
          </w:p>
        </w:tc>
        <w:tc>
          <w:tcPr>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8"/>
                <w:szCs w:val="18"/>
              </w:rPr>
              <w:t xml:space="preserve">Block access</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NEH-MFA-IT-Admins</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GRP-IT-Admins, all cloud apps</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MFA + 4hr sign-in frequency</w:t>
            </w:r>
          </w:p>
        </w:tc>
      </w:tr>
      <w:tr>
        <w:tc>
          <w:tcPr>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8"/>
                <w:szCs w:val="18"/>
              </w:rPr>
              <w:t xml:space="preserve">NEH-Block-Outside-Network</w:t>
            </w:r>
          </w:p>
        </w:tc>
        <w:tc>
          <w:tcPr>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8"/>
                <w:szCs w:val="18"/>
              </w:rPr>
              <w:t xml:space="preserve">All users, outside 192.168.1.0/24</w:t>
            </w:r>
          </w:p>
        </w:tc>
        <w:tc>
          <w:tcPr>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8"/>
                <w:szCs w:val="18"/>
              </w:rPr>
              <w:t xml:space="preserve">Block access</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NEH-External-Restrictions</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Contractor/Vendor groups, medium/high risk</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MFA + 1hr sign-in frequency</w:t>
            </w:r>
          </w:p>
        </w:tc>
      </w:tr>
      <w:tr>
        <w:tc>
          <w:tcPr>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8"/>
                <w:szCs w:val="18"/>
              </w:rPr>
              <w:t xml:space="preserve">NEH-User-Risk-Policy</w:t>
            </w:r>
          </w:p>
        </w:tc>
        <w:tc>
          <w:tcPr>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8"/>
                <w:szCs w:val="18"/>
              </w:rPr>
              <w:t xml:space="preserve">All users, user risk = High</w:t>
            </w:r>
          </w:p>
        </w:tc>
        <w:tc>
          <w:tcPr>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8"/>
                <w:szCs w:val="18"/>
              </w:rPr>
              <w:t xml:space="preserve">MFA + password change required</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NEH-Sign-In-Risk-Policy</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All users, sign-in risk = Medium/High</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MFA required</w:t>
            </w:r>
          </w:p>
        </w:tc>
      </w:tr>
    </w:tbl>
    <w:p>
      <w:r>
        <w:br w:type="page"/>
      </w:r>
    </w:p>
    <w:p>
      <w:pPr>
        <w:pStyle w:val="Heading1"/>
        <w:spacing w:after="120" w:before="360"/>
      </w:pPr>
      <w:r>
        <w:rPr>
          <w:rFonts w:ascii="Arial" w:cs="Arial" w:eastAsia="Arial" w:hAnsi="Arial"/>
          <w:b/>
          <w:bCs/>
          <w:color w:val="1F4E79"/>
          <w:sz w:val="32"/>
          <w:szCs w:val="32"/>
        </w:rPr>
        <w:t xml:space="preserve">Privileged Identity Management (PIM)</w:t>
      </w:r>
    </w:p>
    <w:p>
      <w:pPr>
        <w:pStyle w:val="Heading2"/>
        <w:spacing w:after="80" w:before="240"/>
      </w:pPr>
      <w:r>
        <w:rPr>
          <w:rFonts w:ascii="Arial" w:cs="Arial" w:eastAsia="Arial" w:hAnsi="Arial"/>
          <w:b/>
          <w:bCs/>
          <w:color w:val="2E75B6"/>
          <w:sz w:val="26"/>
          <w:szCs w:val="26"/>
        </w:rPr>
        <w:t xml:space="preserve">Overview</w:t>
      </w:r>
    </w:p>
    <w:p>
      <w:pPr>
        <w:spacing w:after="60" w:before="60"/>
      </w:pPr>
      <w:r>
        <w:rPr>
          <w:rFonts w:ascii="Arial" w:cs="Arial" w:eastAsia="Arial" w:hAnsi="Arial"/>
          <w:sz w:val="20"/>
          <w:szCs w:val="20"/>
        </w:rPr>
        <w:t xml:space="preserve">PIM eliminates standing privileged access by making admin roles eligible rather than permanently assigned. IT Admins must request and justify elevated access which is automatically revoked after a set time period. This directly addresses the HIPAA requirement for minimum necessary access on privileged accounts.</w:t>
      </w:r>
    </w:p>
    <w:p>
      <w:pPr>
        <w:spacing w:after="80" w:before="80"/>
      </w:pPr>
      <w:r>
        <w:t xml:space="preserve"/>
      </w:r>
    </w:p>
    <w:p>
      <w:pPr>
        <w:pStyle w:val="Heading2"/>
        <w:spacing w:after="80" w:before="240"/>
      </w:pPr>
      <w:r>
        <w:rPr>
          <w:rFonts w:ascii="Arial" w:cs="Arial" w:eastAsia="Arial" w:hAnsi="Arial"/>
          <w:b/>
          <w:bCs/>
          <w:color w:val="2E75B6"/>
          <w:sz w:val="26"/>
          <w:szCs w:val="26"/>
        </w:rPr>
        <w:t xml:space="preserve">Eligible Role Assignments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2500"/>
        <w:gridCol w:w="4360"/>
      </w:tblGrid>
      <w:tr>
        <w:trPr>
          <w:tblHeader/>
        </w:trPr>
        <w:tc>
          <w:tcPr>
            <w:tcBorders>
              <w:top w:val="single" w:color="1F4E79" w:sz="1"/>
              <w:left w:val="single" w:color="1F4E79" w:sz="1"/>
              <w:bottom w:val="single" w:color="1F4E79" w:sz="1"/>
              <w:right w:val="single" w:color="1F4E79" w:sz="1"/>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User</w:t>
            </w:r>
          </w:p>
        </w:tc>
        <w:tc>
          <w:tcPr>
            <w:tcBorders>
              <w:top w:val="single" w:color="1F4E79" w:sz="1"/>
              <w:left w:val="single" w:color="1F4E79" w:sz="1"/>
              <w:bottom w:val="single" w:color="1F4E79" w:sz="1"/>
              <w:right w:val="single" w:color="1F4E79" w:sz="1"/>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Role</w:t>
            </w:r>
          </w:p>
        </w:tc>
        <w:tc>
          <w:tcPr>
            <w:tcBorders>
              <w:top w:val="single" w:color="1F4E79" w:sz="1"/>
              <w:left w:val="single" w:color="1F4E79" w:sz="1"/>
              <w:bottom w:val="single" w:color="1F4E79" w:sz="1"/>
              <w:right w:val="single" w:color="1F4E79" w:sz="1"/>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Assignment Type</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Michael Torres</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User Administrator</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Eligible</w:t>
            </w:r>
          </w:p>
        </w:tc>
      </w:tr>
      <w:tr>
        <w:tc>
          <w:tcPr>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8"/>
                <w:szCs w:val="18"/>
              </w:rPr>
              <w:t xml:space="preserve">Michael Torres</w:t>
            </w:r>
          </w:p>
        </w:tc>
        <w:tc>
          <w:tcPr>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8"/>
                <w:szCs w:val="18"/>
              </w:rPr>
              <w:t xml:space="preserve">Global Reader</w:t>
            </w:r>
          </w:p>
        </w:tc>
        <w:tc>
          <w:tcPr>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8"/>
                <w:szCs w:val="18"/>
              </w:rPr>
              <w:t xml:space="preserve">Eligible</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James Carter</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User Administrator</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Eligible</w:t>
            </w:r>
          </w:p>
        </w:tc>
      </w:tr>
      <w:tr>
        <w:tc>
          <w:tcPr>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8"/>
                <w:szCs w:val="18"/>
              </w:rPr>
              <w:t xml:space="preserve">Rachel Gomez</w:t>
            </w:r>
          </w:p>
        </w:tc>
        <w:tc>
          <w:tcPr>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8"/>
                <w:szCs w:val="18"/>
              </w:rPr>
              <w:t xml:space="preserve">User Administrator</w:t>
            </w:r>
          </w:p>
        </w:tc>
        <w:tc>
          <w:tcPr>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8"/>
                <w:szCs w:val="18"/>
              </w:rPr>
              <w:t xml:space="preserve">Eligible</w:t>
            </w:r>
          </w:p>
        </w:tc>
      </w:tr>
    </w:tbl>
    <w:p>
      <w:pPr>
        <w:spacing w:after="80" w:before="80"/>
      </w:pPr>
      <w:r>
        <w:t xml:space="preserve"/>
      </w:r>
    </w:p>
    <w:p>
      <w:pPr>
        <w:pStyle w:val="Heading2"/>
        <w:spacing w:after="80" w:before="240"/>
      </w:pPr>
      <w:r>
        <w:rPr>
          <w:rFonts w:ascii="Arial" w:cs="Arial" w:eastAsia="Arial" w:hAnsi="Arial"/>
          <w:b/>
          <w:bCs/>
          <w:color w:val="2E75B6"/>
          <w:sz w:val="26"/>
          <w:szCs w:val="26"/>
        </w:rPr>
        <w:t xml:space="preserve">How PIM Works in This Environment</w:t>
      </w:r>
    </w:p>
    <w:p>
      <w:pPr>
        <w:pStyle w:val="ListParagraph"/>
        <w:numPr>
          <w:ilvl w:val="0"/>
          <w:numId w:val="2"/>
        </w:numPr>
        <w:spacing w:after="40" w:before="40"/>
      </w:pPr>
      <w:r>
        <w:rPr>
          <w:rFonts w:ascii="Arial" w:cs="Arial" w:eastAsia="Arial" w:hAnsi="Arial"/>
          <w:sz w:val="20"/>
          <w:szCs w:val="20"/>
        </w:rPr>
        <w:t xml:space="preserve">No IT Admin has permanent Global Admin or User Admin rights</w:t>
      </w:r>
    </w:p>
    <w:p>
      <w:pPr>
        <w:pStyle w:val="ListParagraph"/>
        <w:numPr>
          <w:ilvl w:val="0"/>
          <w:numId w:val="2"/>
        </w:numPr>
        <w:spacing w:after="40" w:before="40"/>
      </w:pPr>
      <w:r>
        <w:rPr>
          <w:rFonts w:ascii="Arial" w:cs="Arial" w:eastAsia="Arial" w:hAnsi="Arial"/>
          <w:sz w:val="20"/>
          <w:szCs w:val="20"/>
        </w:rPr>
        <w:t xml:space="preserve">When elevated access is needed the user activates their eligible role in PIM</w:t>
      </w:r>
    </w:p>
    <w:p>
      <w:pPr>
        <w:pStyle w:val="ListParagraph"/>
        <w:numPr>
          <w:ilvl w:val="0"/>
          <w:numId w:val="2"/>
        </w:numPr>
        <w:spacing w:after="40" w:before="40"/>
      </w:pPr>
      <w:r>
        <w:rPr>
          <w:rFonts w:ascii="Arial" w:cs="Arial" w:eastAsia="Arial" w:hAnsi="Arial"/>
          <w:sz w:val="20"/>
          <w:szCs w:val="20"/>
        </w:rPr>
        <w:t xml:space="preserve">Activation requires a written business justification</w:t>
      </w:r>
    </w:p>
    <w:p>
      <w:pPr>
        <w:pStyle w:val="ListParagraph"/>
        <w:numPr>
          <w:ilvl w:val="0"/>
          <w:numId w:val="2"/>
        </w:numPr>
        <w:spacing w:after="40" w:before="40"/>
      </w:pPr>
      <w:r>
        <w:rPr>
          <w:rFonts w:ascii="Arial" w:cs="Arial" w:eastAsia="Arial" w:hAnsi="Arial"/>
          <w:sz w:val="20"/>
          <w:szCs w:val="20"/>
        </w:rPr>
        <w:t xml:space="preserve">Access is granted for a limited time period then automatically removed</w:t>
      </w:r>
    </w:p>
    <w:p>
      <w:pPr>
        <w:pStyle w:val="ListParagraph"/>
        <w:numPr>
          <w:ilvl w:val="0"/>
          <w:numId w:val="2"/>
        </w:numPr>
        <w:spacing w:after="40" w:before="40"/>
      </w:pPr>
      <w:r>
        <w:rPr>
          <w:rFonts w:ascii="Arial" w:cs="Arial" w:eastAsia="Arial" w:hAnsi="Arial"/>
          <w:sz w:val="20"/>
          <w:szCs w:val="20"/>
        </w:rPr>
        <w:t xml:space="preserve">All activations are logged for HIPAA audit purposes</w:t>
      </w:r>
    </w:p>
    <w:p>
      <w:pPr>
        <w:spacing w:after="80" w:before="80"/>
      </w:pPr>
      <w:r>
        <w:t xml:space="preserve"/>
      </w:r>
    </w:p>
    <w:p>
      <w:pPr>
        <w:pBdr>
          <w:left w:val="single" w:color="2E75B6" w:sz="6" w:space="1"/>
        </w:pBdr>
        <w:spacing w:after="80" w:before="80"/>
        <w:ind w:left="360"/>
      </w:pPr>
      <w:r>
        <w:rPr>
          <w:rFonts w:ascii="Arial" w:cs="Arial" w:eastAsia="Arial" w:hAnsi="Arial"/>
          <w:i/>
          <w:iCs/>
          <w:color w:val="404040"/>
          <w:sz w:val="20"/>
          <w:szCs w:val="20"/>
        </w:rPr>
        <w:t xml:space="preserve">PIM activation workflow: User opens Entra ID portal → My roles → Activate → Enter justification → Access granted for limited time → Auto-removed on expiry</w:t>
      </w:r>
    </w:p>
    <w:p>
      <w:r>
        <w:br w:type="page"/>
      </w:r>
    </w:p>
    <w:p>
      <w:pPr>
        <w:pStyle w:val="Heading1"/>
        <w:spacing w:after="120" w:before="360"/>
      </w:pPr>
      <w:r>
        <w:rPr>
          <w:rFonts w:ascii="Arial" w:cs="Arial" w:eastAsia="Arial" w:hAnsi="Arial"/>
          <w:b/>
          <w:bCs/>
          <w:color w:val="1F4E79"/>
          <w:sz w:val="32"/>
          <w:szCs w:val="32"/>
        </w:rPr>
        <w:t xml:space="preserve">Access Reviews</w:t>
      </w:r>
    </w:p>
    <w:p>
      <w:pPr>
        <w:pStyle w:val="Heading2"/>
        <w:spacing w:after="80" w:before="240"/>
      </w:pPr>
      <w:r>
        <w:rPr>
          <w:rFonts w:ascii="Arial" w:cs="Arial" w:eastAsia="Arial" w:hAnsi="Arial"/>
          <w:b/>
          <w:bCs/>
          <w:color w:val="2E75B6"/>
          <w:sz w:val="26"/>
          <w:szCs w:val="26"/>
        </w:rPr>
        <w:t xml:space="preserve">Overview</w:t>
      </w:r>
    </w:p>
    <w:p>
      <w:pPr>
        <w:spacing w:after="60" w:before="60"/>
      </w:pPr>
      <w:r>
        <w:rPr>
          <w:rFonts w:ascii="Arial" w:cs="Arial" w:eastAsia="Arial" w:hAnsi="Arial"/>
          <w:sz w:val="20"/>
          <w:szCs w:val="20"/>
        </w:rPr>
        <w:t xml:space="preserve">Access Reviews automate the HIPAA requirement for periodic access certification. Every 90 days managers are prompted to review and confirm who still needs access to each security group. Anyone not confirmed has their access automatically removed.</w:t>
      </w:r>
    </w:p>
    <w:p>
      <w:pPr>
        <w:spacing w:after="80" w:before="80"/>
      </w:pPr>
      <w:r>
        <w:t xml:space="preserve"/>
      </w:r>
    </w:p>
    <w:p>
      <w:pPr>
        <w:pStyle w:val="Heading2"/>
        <w:spacing w:after="80" w:before="240"/>
      </w:pPr>
      <w:r>
        <w:rPr>
          <w:rFonts w:ascii="Arial" w:cs="Arial" w:eastAsia="Arial" w:hAnsi="Arial"/>
          <w:b/>
          <w:bCs/>
          <w:color w:val="2E75B6"/>
          <w:sz w:val="26"/>
          <w:szCs w:val="26"/>
        </w:rPr>
        <w:t xml:space="preserve">Configured Access Reviews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Review Name</w:t>
            </w:r>
          </w:p>
        </w:tc>
        <w:tc>
          <w:tcPr>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Group Reviewed</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NEH-Physicians-Quarterly-Access-Review</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GRP-Physicians</w:t>
            </w:r>
          </w:p>
        </w:tc>
      </w:tr>
      <w:tr>
        <w:tc>
          <w:tcPr>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8"/>
                <w:szCs w:val="18"/>
              </w:rPr>
              <w:t xml:space="preserve">NEH-Nursing-RN-Quarterly-Access-Review</w:t>
            </w:r>
          </w:p>
        </w:tc>
        <w:tc>
          <w:tcPr>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8"/>
                <w:szCs w:val="18"/>
              </w:rPr>
              <w:t xml:space="preserve">GRP-Nursing-RN</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NEH-Nursing-Charge-Quarterly-Access-Review</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GRP-Nursing-Charge</w:t>
            </w:r>
          </w:p>
        </w:tc>
      </w:tr>
      <w:tr>
        <w:tc>
          <w:tcPr>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8"/>
                <w:szCs w:val="18"/>
              </w:rPr>
              <w:t xml:space="preserve">NEH-IT-Admins-Quarterly-Access-Review</w:t>
            </w:r>
          </w:p>
        </w:tc>
        <w:tc>
          <w:tcPr>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8"/>
                <w:szCs w:val="18"/>
              </w:rPr>
              <w:t xml:space="preserve">GRP-IT-Admins</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NEH-HR-Manager-Quarterly-Access-Review</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GRP-HR-Manager</w:t>
            </w:r>
          </w:p>
        </w:tc>
      </w:tr>
      <w:tr>
        <w:tc>
          <w:tcPr>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8"/>
                <w:szCs w:val="18"/>
              </w:rPr>
              <w:t xml:space="preserve">NEH-Billing-Manager-Quarterly-Access-Review</w:t>
            </w:r>
          </w:p>
        </w:tc>
        <w:tc>
          <w:tcPr>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8"/>
                <w:szCs w:val="18"/>
              </w:rPr>
              <w:t xml:space="preserve">GRP-Billing-Manager</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NEH-Contractors-Clinical-Quarterly-Access-Review</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GRP-Contractors-Clinical</w:t>
            </w:r>
          </w:p>
        </w:tc>
      </w:tr>
      <w:tr>
        <w:tc>
          <w:tcPr>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8"/>
                <w:szCs w:val="18"/>
              </w:rPr>
              <w:t xml:space="preserve">NEH-Vendors-EHR-Quarterly-Access-Review</w:t>
            </w:r>
          </w:p>
        </w:tc>
        <w:tc>
          <w:tcPr>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8"/>
                <w:szCs w:val="18"/>
              </w:rPr>
              <w:t xml:space="preserve">GRP-Vendors-EHR</w:t>
            </w:r>
          </w:p>
        </w:tc>
      </w:tr>
    </w:tbl>
    <w:p>
      <w:pPr>
        <w:spacing w:after="80" w:before="80"/>
      </w:pPr>
      <w:r>
        <w:t xml:space="preserve"/>
      </w:r>
    </w:p>
    <w:p>
      <w:pPr>
        <w:pStyle w:val="Heading2"/>
        <w:spacing w:after="80" w:before="240"/>
      </w:pPr>
      <w:r>
        <w:rPr>
          <w:rFonts w:ascii="Arial" w:cs="Arial" w:eastAsia="Arial" w:hAnsi="Arial"/>
          <w:b/>
          <w:bCs/>
          <w:color w:val="2E75B6"/>
          <w:sz w:val="26"/>
          <w:szCs w:val="26"/>
        </w:rPr>
        <w:t xml:space="preserve">Review Settings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Setting</w:t>
            </w:r>
          </w:p>
        </w:tc>
        <w:tc>
          <w:tcPr>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Value</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Recurrence</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Quarterly (every 90 days)</w:t>
            </w:r>
          </w:p>
        </w:tc>
      </w:tr>
      <w:tr>
        <w:tc>
          <w:tcPr>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8"/>
                <w:szCs w:val="18"/>
              </w:rPr>
              <w:t xml:space="preserve">Duration</w:t>
            </w:r>
          </w:p>
        </w:tc>
        <w:tc>
          <w:tcPr>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8"/>
                <w:szCs w:val="18"/>
              </w:rPr>
              <w:t xml:space="preserve">14 days for reviewers to respond</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Reviewer</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Manager of each user</w:t>
            </w:r>
          </w:p>
        </w:tc>
      </w:tr>
      <w:tr>
        <w:tc>
          <w:tcPr>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8"/>
                <w:szCs w:val="18"/>
              </w:rPr>
              <w:t xml:space="preserve">Auto-apply results</w:t>
            </w:r>
          </w:p>
        </w:tc>
        <w:tc>
          <w:tcPr>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8"/>
                <w:szCs w:val="18"/>
              </w:rPr>
              <w:t xml:space="preserve">Enabled</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If reviewer does not respond</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Remove access</w:t>
            </w:r>
          </w:p>
        </w:tc>
      </w:tr>
      <w:tr>
        <w:tc>
          <w:tcPr>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8"/>
                <w:szCs w:val="18"/>
              </w:rPr>
              <w:t xml:space="preserve">End date</w:t>
            </w:r>
          </w:p>
        </w:tc>
        <w:tc>
          <w:tcPr>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8"/>
                <w:szCs w:val="18"/>
              </w:rPr>
              <w:t xml:space="preserve">Never (ongoing)</w:t>
            </w:r>
          </w:p>
        </w:tc>
      </w:tr>
    </w:tbl>
    <w:p>
      <w:pPr>
        <w:spacing w:after="80" w:before="80"/>
      </w:pPr>
      <w:r>
        <w:t xml:space="preserve"/>
      </w:r>
    </w:p>
    <w:p>
      <w:pPr>
        <w:pBdr>
          <w:left w:val="single" w:color="2E75B6" w:sz="6" w:space="1"/>
        </w:pBdr>
        <w:spacing w:after="80" w:before="80"/>
        <w:ind w:left="360"/>
      </w:pPr>
      <w:r>
        <w:rPr>
          <w:rFonts w:ascii="Arial" w:cs="Arial" w:eastAsia="Arial" w:hAnsi="Arial"/>
          <w:i/>
          <w:iCs/>
          <w:color w:val="404040"/>
          <w:sz w:val="20"/>
          <w:szCs w:val="20"/>
        </w:rPr>
        <w:t xml:space="preserve">Quarterly access reviews directly satisfy HIPAA Security Rule 164.308(a)(3) — Workforce Authorization and Supervision — by providing documented evidence that access is regularly reviewed and certified.</w:t>
      </w:r>
    </w:p>
    <w:p>
      <w:r>
        <w:br w:type="page"/>
      </w:r>
    </w:p>
    <w:p>
      <w:pPr>
        <w:pStyle w:val="Heading1"/>
        <w:spacing w:after="120" w:before="360"/>
      </w:pPr>
      <w:r>
        <w:rPr>
          <w:rFonts w:ascii="Arial" w:cs="Arial" w:eastAsia="Arial" w:hAnsi="Arial"/>
          <w:b/>
          <w:bCs/>
          <w:color w:val="1F4E79"/>
          <w:sz w:val="32"/>
          <w:szCs w:val="32"/>
        </w:rPr>
        <w:t xml:space="preserve">Security Findings and Remediation</w:t>
      </w:r>
    </w:p>
    <w:p>
      <w:pPr>
        <w:pStyle w:val="Heading2"/>
        <w:spacing w:after="80" w:before="240"/>
      </w:pPr>
      <w:r>
        <w:rPr>
          <w:rFonts w:ascii="Arial" w:cs="Arial" w:eastAsia="Arial" w:hAnsi="Arial"/>
          <w:b/>
          <w:bCs/>
          <w:color w:val="2E75B6"/>
          <w:sz w:val="26"/>
          <w:szCs w:val="26"/>
        </w:rPr>
        <w:t xml:space="preserve">Finding 1 — Application Block Bypass via Batch Files</w:t>
      </w:r>
    </w:p>
    <w:p>
      <w:pPr>
        <w:spacing w:after="60" w:before="60"/>
      </w:pPr>
      <w:r>
        <w:rPr>
          <w:rFonts w:ascii="Arial" w:cs="Arial" w:eastAsia="Arial" w:hAnsi="Arial"/>
          <w:sz w:val="20"/>
          <w:szCs w:val="20"/>
        </w:rPr>
        <w:t xml:space="preserve">During lab testing it was discovered that the Don't run specified Windows applications GPO setting can be bypassed by wrapping blocked executables in a .bat batch file. The policy blocks executables by name but does not prevent indirect execution via scripting.</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Detail</w:t>
            </w:r>
          </w:p>
        </w:tc>
        <w:tc>
          <w:tcPr>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Description</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Finding</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PowerShell and CMD blocked by GPO name can be launched via .bat file</w:t>
            </w:r>
          </w:p>
        </w:tc>
      </w:tr>
      <w:tr>
        <w:tc>
          <w:tcPr>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8"/>
                <w:szCs w:val="18"/>
              </w:rPr>
              <w:t xml:space="preserve">Severity</w:t>
            </w:r>
          </w:p>
        </w:tc>
        <w:tc>
          <w:tcPr>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8"/>
                <w:szCs w:val="18"/>
              </w:rPr>
              <w:t xml:space="preserve">Medium</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Affected Policies</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NEH-IT-Helpdesk-Policy, NEH-Clinical-Baseline, NEH-Contractors-Policy, NEH-Vendors-Policy</w:t>
            </w:r>
          </w:p>
        </w:tc>
      </w:tr>
      <w:tr>
        <w:tc>
          <w:tcPr>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8"/>
                <w:szCs w:val="18"/>
              </w:rPr>
              <w:t xml:space="preserve">Remediation</w:t>
            </w:r>
          </w:p>
        </w:tc>
        <w:tc>
          <w:tcPr>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8"/>
                <w:szCs w:val="18"/>
              </w:rPr>
              <w:t xml:space="preserve">Implement AppLocker Script Rules to block .bat, .cmd, .vbs, .ps1 execution</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Status</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Identified — remediation pending</w:t>
            </w:r>
          </w:p>
        </w:tc>
      </w:tr>
    </w:tbl>
    <w:p>
      <w:pPr>
        <w:spacing w:after="80" w:before="80"/>
      </w:pPr>
      <w:r>
        <w:t xml:space="preserve"/>
      </w:r>
    </w:p>
    <w:p>
      <w:pPr>
        <w:pBdr>
          <w:left w:val="single" w:color="2E75B6" w:sz="6" w:space="1"/>
        </w:pBdr>
        <w:spacing w:after="80" w:before="80"/>
        <w:ind w:left="360"/>
      </w:pPr>
      <w:r>
        <w:rPr>
          <w:rFonts w:ascii="Arial" w:cs="Arial" w:eastAsia="Arial" w:hAnsi="Arial"/>
          <w:i/>
          <w:iCs/>
          <w:color w:val="404040"/>
          <w:sz w:val="20"/>
          <w:szCs w:val="20"/>
        </w:rPr>
        <w:t xml:space="preserve">Remediation: Add AppLocker Script Rules via NEH-AppLocker-Policy linked to NEH-Users OU. Block *.bat, *.cmd, *.vbs, *.ps1 for all non-IT users. Exempt GRP-IT-Admins, GRP-IT-Server-Admins, GRP-IT-Network via security filtering.</w:t>
      </w:r>
    </w:p>
    <w:p>
      <w:r>
        <w:br w:type="page"/>
      </w:r>
    </w:p>
    <w:p>
      <w:pPr>
        <w:pStyle w:val="Heading1"/>
        <w:spacing w:after="120" w:before="360"/>
      </w:pPr>
      <w:r>
        <w:rPr>
          <w:rFonts w:ascii="Arial" w:cs="Arial" w:eastAsia="Arial" w:hAnsi="Arial"/>
          <w:b/>
          <w:bCs/>
          <w:color w:val="1F4E79"/>
          <w:sz w:val="32"/>
          <w:szCs w:val="32"/>
        </w:rPr>
        <w:t xml:space="preserve">Portfolio and Resume Talking Points</w:t>
      </w:r>
    </w:p>
    <w:p>
      <w:pPr>
        <w:pStyle w:val="Heading2"/>
        <w:spacing w:after="80" w:before="240"/>
      </w:pPr>
      <w:r>
        <w:rPr>
          <w:rFonts w:ascii="Arial" w:cs="Arial" w:eastAsia="Arial" w:hAnsi="Arial"/>
          <w:b/>
          <w:bCs/>
          <w:color w:val="2E75B6"/>
          <w:sz w:val="26"/>
          <w:szCs w:val="26"/>
        </w:rPr>
        <w:t xml:space="preserve">How to Describe This Lab</w:t>
      </w:r>
    </w:p>
    <w:p>
      <w:pPr>
        <w:pStyle w:val="ListParagraph"/>
        <w:numPr>
          <w:ilvl w:val="0"/>
          <w:numId w:val="2"/>
        </w:numPr>
        <w:spacing w:after="40" w:before="40"/>
      </w:pPr>
      <w:r>
        <w:rPr>
          <w:rFonts w:ascii="Arial" w:cs="Arial" w:eastAsia="Arial" w:hAnsi="Arial"/>
          <w:sz w:val="20"/>
          <w:szCs w:val="20"/>
        </w:rPr>
        <w:t xml:space="preserve">Designed and implemented a complete enterprise IAM environment for a simulated 500-bed hospital aligned to HIPAA Security Rule requirements</w:t>
      </w:r>
    </w:p>
    <w:p>
      <w:pPr>
        <w:pStyle w:val="ListParagraph"/>
        <w:numPr>
          <w:ilvl w:val="0"/>
          <w:numId w:val="2"/>
        </w:numPr>
        <w:spacing w:after="40" w:before="40"/>
      </w:pPr>
      <w:r>
        <w:rPr>
          <w:rFonts w:ascii="Arial" w:cs="Arial" w:eastAsia="Arial" w:hAnsi="Arial"/>
          <w:sz w:val="20"/>
          <w:szCs w:val="20"/>
        </w:rPr>
        <w:t xml:space="preserve">Built Active Directory OU structure and RBAC group model covering 5 departments and 30+ user accounts across clinical, administrative, and external staff personas</w:t>
      </w:r>
    </w:p>
    <w:p>
      <w:pPr>
        <w:pStyle w:val="ListParagraph"/>
        <w:numPr>
          <w:ilvl w:val="0"/>
          <w:numId w:val="2"/>
        </w:numPr>
        <w:spacing w:after="40" w:before="40"/>
      </w:pPr>
      <w:r>
        <w:rPr>
          <w:rFonts w:ascii="Arial" w:cs="Arial" w:eastAsia="Arial" w:hAnsi="Arial"/>
          <w:sz w:val="20"/>
          <w:szCs w:val="20"/>
        </w:rPr>
        <w:t xml:space="preserve">Configured 16 Group Policy Objects enforcing least privilege, application control, USB blocking, audit logging, and HIPAA logon warnings across all hospital departments</w:t>
      </w:r>
    </w:p>
    <w:p>
      <w:pPr>
        <w:pStyle w:val="ListParagraph"/>
        <w:numPr>
          <w:ilvl w:val="0"/>
          <w:numId w:val="2"/>
        </w:numPr>
        <w:spacing w:after="40" w:before="40"/>
      </w:pPr>
      <w:r>
        <w:rPr>
          <w:rFonts w:ascii="Arial" w:cs="Arial" w:eastAsia="Arial" w:hAnsi="Arial"/>
          <w:sz w:val="20"/>
          <w:szCs w:val="20"/>
        </w:rPr>
        <w:t xml:space="preserve">Implemented hybrid identity architecture using Microsoft Entra Connect to sync on-premises AD to Entra ID, enabling single identity for both on-prem and cloud resources</w:t>
      </w:r>
    </w:p>
    <w:p>
      <w:pPr>
        <w:pStyle w:val="ListParagraph"/>
        <w:numPr>
          <w:ilvl w:val="0"/>
          <w:numId w:val="2"/>
        </w:numPr>
        <w:spacing w:after="40" w:before="40"/>
      </w:pPr>
      <w:r>
        <w:rPr>
          <w:rFonts w:ascii="Arial" w:cs="Arial" w:eastAsia="Arial" w:hAnsi="Arial"/>
          <w:sz w:val="20"/>
          <w:szCs w:val="20"/>
        </w:rPr>
        <w:t xml:space="preserve">Configured 7 Conditional Access policies enforcing MFA, blocking legacy authentication, restricting access by network location, and applying risk-based access controls</w:t>
      </w:r>
    </w:p>
    <w:p>
      <w:pPr>
        <w:pStyle w:val="ListParagraph"/>
        <w:numPr>
          <w:ilvl w:val="0"/>
          <w:numId w:val="2"/>
        </w:numPr>
        <w:spacing w:after="40" w:before="40"/>
      </w:pPr>
      <w:r>
        <w:rPr>
          <w:rFonts w:ascii="Arial" w:cs="Arial" w:eastAsia="Arial" w:hAnsi="Arial"/>
          <w:sz w:val="20"/>
          <w:szCs w:val="20"/>
        </w:rPr>
        <w:t xml:space="preserve">Deployed Privileged Identity Management eliminating standing admin access — all privileged roles are eligible only and require time-limited activation with business justification</w:t>
      </w:r>
    </w:p>
    <w:p>
      <w:pPr>
        <w:pStyle w:val="ListParagraph"/>
        <w:numPr>
          <w:ilvl w:val="0"/>
          <w:numId w:val="2"/>
        </w:numPr>
        <w:spacing w:after="40" w:before="40"/>
      </w:pPr>
      <w:r>
        <w:rPr>
          <w:rFonts w:ascii="Arial" w:cs="Arial" w:eastAsia="Arial" w:hAnsi="Arial"/>
          <w:sz w:val="20"/>
          <w:szCs w:val="20"/>
        </w:rPr>
        <w:t xml:space="preserve">Implemented 8 quarterly Access Reviews automating HIPAA access certification for clinical, administrative, and privileged groups</w:t>
      </w:r>
    </w:p>
    <w:p>
      <w:pPr>
        <w:pStyle w:val="ListParagraph"/>
        <w:numPr>
          <w:ilvl w:val="0"/>
          <w:numId w:val="2"/>
        </w:numPr>
        <w:spacing w:after="40" w:before="40"/>
      </w:pPr>
      <w:r>
        <w:rPr>
          <w:rFonts w:ascii="Arial" w:cs="Arial" w:eastAsia="Arial" w:hAnsi="Arial"/>
          <w:sz w:val="20"/>
          <w:szCs w:val="20"/>
        </w:rPr>
        <w:t xml:space="preserve">Identified and documented application control bypass vulnerability via batch files during testing — remediation plan documented</w:t>
      </w:r>
    </w:p>
    <w:p>
      <w:pPr>
        <w:pStyle w:val="ListParagraph"/>
        <w:numPr>
          <w:ilvl w:val="0"/>
          <w:numId w:val="2"/>
        </w:numPr>
        <w:spacing w:after="40" w:before="40"/>
      </w:pPr>
      <w:r>
        <w:rPr>
          <w:rFonts w:ascii="Arial" w:cs="Arial" w:eastAsia="Arial" w:hAnsi="Arial"/>
          <w:sz w:val="20"/>
          <w:szCs w:val="20"/>
        </w:rPr>
        <w:t xml:space="preserve">Automated user provisioning using PowerShell scripts for joiner, mover, and leaver identity lifecycle processes</w:t>
      </w:r>
    </w:p>
    <w:p>
      <w:pPr>
        <w:spacing w:after="80" w:before="80"/>
      </w:pPr>
      <w:r>
        <w:t xml:space="preserve"/>
      </w:r>
    </w:p>
    <w:p>
      <w:pPr>
        <w:pStyle w:val="Heading2"/>
        <w:spacing w:after="80" w:before="240"/>
      </w:pPr>
      <w:r>
        <w:rPr>
          <w:rFonts w:ascii="Arial" w:cs="Arial" w:eastAsia="Arial" w:hAnsi="Arial"/>
          <w:b/>
          <w:bCs/>
          <w:color w:val="2E75B6"/>
          <w:sz w:val="26"/>
          <w:szCs w:val="26"/>
        </w:rPr>
        <w:t xml:space="preserve">Key Technologies Demonstrated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Technology</w:t>
            </w:r>
          </w:p>
        </w:tc>
        <w:tc>
          <w:tcPr>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What You Did With It</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Active Directory</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OU design, user/group management, GPO configuration, delegation</w:t>
            </w:r>
          </w:p>
        </w:tc>
      </w:tr>
      <w:tr>
        <w:tc>
          <w:tcPr>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8"/>
                <w:szCs w:val="18"/>
              </w:rPr>
              <w:t xml:space="preserve">Windows Server 2016</w:t>
            </w:r>
          </w:p>
        </w:tc>
        <w:tc>
          <w:tcPr>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8"/>
                <w:szCs w:val="18"/>
              </w:rPr>
              <w:t xml:space="preserve">DC promotion, AD DS, DNS, file shares, drive mapping</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Microsoft Entra ID P2</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Conditional Access, PIM, Identity Protection, Access Reviews</w:t>
            </w:r>
          </w:p>
        </w:tc>
      </w:tr>
      <w:tr>
        <w:tc>
          <w:tcPr>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8"/>
                <w:szCs w:val="18"/>
              </w:rPr>
              <w:t xml:space="preserve">Entra Connect</w:t>
            </w:r>
          </w:p>
        </w:tc>
        <w:tc>
          <w:tcPr>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8"/>
                <w:szCs w:val="18"/>
              </w:rPr>
              <w:t xml:space="preserve">Hybrid identity sync, password hash synchronization</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PowerShell</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User provisioning, group management, AD automation</w:t>
            </w:r>
          </w:p>
        </w:tc>
      </w:tr>
      <w:tr>
        <w:tc>
          <w:tcPr>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8"/>
                <w:szCs w:val="18"/>
              </w:rPr>
              <w:t xml:space="preserve">Group Policy</w:t>
            </w:r>
          </w:p>
        </w:tc>
        <w:tc>
          <w:tcPr>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8"/>
                <w:szCs w:val="18"/>
              </w:rPr>
              <w:t xml:space="preserve">Application control, USB blocking, audit logging, drive mapping</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RBAC</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Security group design, least privilege enforcement, delegation</w:t>
            </w:r>
          </w:p>
        </w:tc>
      </w:tr>
      <w:tr>
        <w:tc>
          <w:tcPr>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8"/>
                <w:szCs w:val="18"/>
              </w:rPr>
              <w:t xml:space="preserve">Zero Trust</w:t>
            </w:r>
          </w:p>
        </w:tc>
        <w:tc>
          <w:tcPr>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18"/>
                <w:szCs w:val="18"/>
              </w:rPr>
              <w:t xml:space="preserve">No standing access, always verify, assume breach monitoring</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HIPAA</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Minimum necessary access, audit controls, access certification</w:t>
            </w:r>
          </w:p>
        </w:tc>
      </w:tr>
    </w:tbl>
    <w:p>
      <w:pPr>
        <w:spacing w:after="80" w:before="80"/>
      </w:pPr>
      <w:r>
        <w:t xml:space="preserve"/>
      </w:r>
    </w:p>
    <w:p>
      <w:pPr>
        <w:spacing w:after="60" w:before="60"/>
      </w:pPr>
      <w:r>
        <w:rPr>
          <w:rFonts w:ascii="Arial" w:cs="Arial" w:eastAsia="Arial" w:hAnsi="Arial"/>
          <w:i/>
          <w:iCs/>
          <w:color w:val="909090"/>
          <w:sz w:val="20"/>
          <w:szCs w:val="20"/>
        </w:rPr>
        <w:t xml:space="preserve">Built as part of NEH Hospital IAM Lab — Windows Server 2016 + Microsoft Entra ID P2</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1F4E79"/>
      <w:sz w:val="32"/>
      <w:szCs w:val="32"/>
    </w:rPr>
  </w:style>
  <w:style w:type="paragraph" w:styleId="Heading2">
    <w:name w:val="Heading 2"/>
    <w:basedOn w:val="Normal"/>
    <w:next w:val="Normal"/>
    <w:qFormat/>
    <w:pPr>
      <w:spacing w:after="80" w:before="240"/>
      <w:outlineLvl w:val="1"/>
    </w:pPr>
    <w:rPr>
      <w:rFonts w:ascii="Arial" w:cs="Arial" w:eastAsia="Arial" w:hAnsi="Arial"/>
      <w:b/>
      <w:bCs/>
      <w:color w:val="2E75B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2026-06-07T21:23:02.595Z</dcterms:created>
  <dcterms:modified xsi:type="dcterms:W3CDTF">2026-06-07T21:23:02.607Z</dcterms:modified>
</cp:coreProperties>
</file>

<file path=docProps/custom.xml><?xml version="1.0" encoding="utf-8"?>
<Properties xmlns="http://schemas.openxmlformats.org/officeDocument/2006/custom-properties" xmlns:vt="http://schemas.openxmlformats.org/officeDocument/2006/docPropsVTypes"/>
</file>