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Comparing Patient-Reported Outcomes Between Dupilumab and Conventional Therapy in Adults with Moderate-to-Severe Atopic Dermatitis</w:t>
      </w:r>
    </w:p>
    <w:p>
      <w:pPr>
        <w:pStyle w:val="Subtitle"/>
      </w:pPr>
      <w:r>
        <w:t xml:space="preserve">HPO 677 Final Project - NIH Grant Proposal (PAR-24-280)</w:t>
      </w:r>
    </w:p>
    <w:p>
      <w:pPr>
        <w:pStyle w:val="Author"/>
      </w:pPr>
      <w:r>
        <w:t xml:space="preserve">Louie Neri</w:t>
      </w:r>
    </w:p>
    <w:p>
      <w:pPr>
        <w:pStyle w:val="Date"/>
      </w:pPr>
      <w:r>
        <w:t xml:space="preserve">2026-04-17</w:t>
      </w:r>
    </w:p>
    <w:p>
      <w:pPr>
        <w:pStyle w:val="AbstractTitle"/>
      </w:pPr>
      <w:r>
        <w:t xml:space="preserve">Abstract</w:t>
      </w:r>
    </w:p>
    <w:p>
      <w:pPr>
        <w:pStyle w:val="Abstract"/>
      </w:pPr>
      <w:r>
        <w:t xml:space="preserve">This grant proposal compares patient-reported outcomes between dupilumab and conventional therapy in adults with moderate-to-severe atopic dermatitis using observational electronic health record data.</w:t>
      </w:r>
    </w:p>
    <w:bookmarkStart w:id="9" w:name="specific-aims"/>
    <w:p>
      <w:pPr>
        <w:pStyle w:val="Heading1"/>
      </w:pPr>
      <w:r>
        <w:t xml:space="preserve">1. Specific Aims</w:t>
      </w:r>
    </w:p>
    <w:p>
      <w:pPr>
        <w:pStyle w:val="FirstParagraph"/>
      </w:pPr>
      <w:r>
        <w:t xml:space="preserve">Atopic dermatitis (AD) is a chronic inflammatory skin condition affecting an estimated 7% to 10% of adults in the United States</w:t>
      </w:r>
      <w:r>
        <w:t xml:space="preserve"> </w:t>
      </w:r>
      <w:r>
        <w:t xml:space="preserve">(Silverberg and Hanifin 2013)</w:t>
      </w:r>
      <w:r>
        <w:t xml:space="preserve">. Moderate-to-severe AD produces persistent pruritus, sleep disturbance, visible skin changes, and psychological distress, which together reduce quality of life and elevate the risk of depression and anxiety</w:t>
      </w:r>
      <w:r>
        <w:t xml:space="preserve"> </w:t>
      </w:r>
      <w:r>
        <w:t xml:space="preserve">(Silverberg et al. 2018)</w:t>
      </w:r>
      <w:r>
        <w:t xml:space="preserve">. The disease burden experienced by patients extends well beyond what clinical severity scores capture.</w:t>
      </w:r>
    </w:p>
    <w:p>
      <w:pPr>
        <w:pStyle w:val="BodyText"/>
      </w:pPr>
      <w:r>
        <w:t xml:space="preserve">Dupilumab, a biologic therapy targeting IL-4 and IL-13 signaling, has reshaped the treatment landscape for moderate-to-severe AD since its FDA approval in 2017</w:t>
      </w:r>
      <w:r>
        <w:t xml:space="preserve"> </w:t>
      </w:r>
      <w:r>
        <w:t xml:space="preserve">(Simpson et al. 2016)</w:t>
      </w:r>
      <w:r>
        <w:t xml:space="preserve">. The evidence supporting its use, however, comes largely from randomized controlled trials with restrictive eligibility criteria. These trials typically exclude older adults, patients with multiple comorbidities, and those on concurrent medications, which limits how well their findings translate to routine clinical practice. Real-world data comparing patient-reported outcomes (PROs) between dupilumab and conventional therapy remain sparse, particularly over the 12-month time horizon relevant to clinical decision-making</w:t>
      </w:r>
      <w:r>
        <w:t xml:space="preserve"> </w:t>
      </w:r>
      <w:r>
        <w:t xml:space="preserve">(Afshari et al. 2024)</w:t>
      </w:r>
      <w:r>
        <w:t xml:space="preserve">.</w:t>
      </w:r>
    </w:p>
    <w:p>
      <w:pPr>
        <w:pStyle w:val="BodyText"/>
      </w:pPr>
      <w:r>
        <w:t xml:space="preserve">This gap matters for three reasons. First, clinicians and patients making treatment decisions lack robust comparative data on outcomes that reflect what patients actually experience. Second, cost differences between biologic and conventional therapies are substantial. Out-of-pocket costs for dupilumab can reach several thousand dollars per year depending on insurance coverage, and the resulting financial burden can independently worsen depressive symptoms even when skin symptoms improve</w:t>
      </w:r>
      <w:r>
        <w:t xml:space="preserve"> </w:t>
      </w:r>
      <w:r>
        <w:t xml:space="preserve">(Drucker et al. 2017)</w:t>
      </w:r>
      <w:r>
        <w:t xml:space="preserve">. Third, understanding these trade-offs is essential for shared decision-making that reflects both clinical effectiveness and the patient-centered consequences of treatment choice.</w:t>
      </w:r>
    </w:p>
    <w:p>
      <w:pPr>
        <w:pStyle w:val="BodyText"/>
      </w:pPr>
      <w:r>
        <w:t xml:space="preserve">The long-term goal of this research is to generate real-world evidence on patient-centered outcomes that can inform treatment selection and health policy for adults with moderate-to-severe AD. The objective of this application is to compare changes in disease-specific quality of life and depressive symptoms between patients initiating dupilumab versus conventional therapy over 12 months, using electronic health record (EHR) data from a large academic medical center. The underlying rationale is that observational data reflecting real-world clinical pathways complement trial evidence and identify outcomes meaningful to patients, which supports the design of future clinical studies. This proposal responds to PAR-24-280, Clinical Observational Studies in Musculoskeletal, Rheumatic, and Skin Diseases, which seeks well-designed observational research that improves understanding of disease symptoms and outcomes important to patients with skin conditions.</w:t>
      </w:r>
    </w:p>
    <w:p>
      <w:pPr>
        <w:pStyle w:val="BodyText"/>
      </w:pPr>
      <w:r>
        <w:t xml:space="preserve">The specific aims are:</w:t>
      </w:r>
    </w:p>
    <w:p>
      <w:pPr>
        <w:pStyle w:val="BodyText"/>
      </w:pPr>
      <w:r>
        <w:rPr>
          <w:b/>
          <w:bCs/>
        </w:rPr>
        <w:t xml:space="preserve">Aim 1: Compare 12-month changes in disease-specific quality of life between dupilumab and conventional therapy.</w:t>
      </w:r>
      <w:r>
        <w:t xml:space="preserve"> </w:t>
      </w:r>
      <w:r>
        <w:t xml:space="preserve">Changes in the Dermatology Life Quality Index (DLQI)</w:t>
      </w:r>
      <w:r>
        <w:t xml:space="preserve"> </w:t>
      </w:r>
      <w:r>
        <w:t xml:space="preserve">(Finlay and Khan 1994)</w:t>
      </w:r>
      <w:r>
        <w:t xml:space="preserve"> </w:t>
      </w:r>
      <w:r>
        <w:t xml:space="preserve">will be evaluated between treatment groups, with confounding by indication addressed through inverse probability of treatment weighting (IPTW). The working hypothesis is that dupilumab-treated patients will show greater DLQI improvement than those on conventional therapy, with differences exceeding the minimal clinically important difference (MCID) of 4 points</w:t>
      </w:r>
      <w:r>
        <w:t xml:space="preserve"> </w:t>
      </w:r>
      <w:r>
        <w:t xml:space="preserve">(Basra et al. 2015)</w:t>
      </w:r>
      <w:r>
        <w:t xml:space="preserve">.</w:t>
      </w:r>
    </w:p>
    <w:p>
      <w:pPr>
        <w:pStyle w:val="BodyText"/>
      </w:pPr>
      <w:r>
        <w:rPr>
          <w:b/>
          <w:bCs/>
        </w:rPr>
        <w:t xml:space="preserve">Aim 2: Compare 12-month changes in depressive symptoms between dupilumab and conventional therapy.</w:t>
      </w:r>
      <w:r>
        <w:t xml:space="preserve"> </w:t>
      </w:r>
      <w:r>
        <w:t xml:space="preserve">Changes in the Patient Health Questionnaire-9 (PHQ-9)</w:t>
      </w:r>
      <w:r>
        <w:t xml:space="preserve"> </w:t>
      </w:r>
      <w:r>
        <w:t xml:space="preserve">(Kroenke et al. 2001)</w:t>
      </w:r>
      <w:r>
        <w:t xml:space="preserve"> </w:t>
      </w:r>
      <w:r>
        <w:t xml:space="preserve">will be evaluated between treatment groups using the same IPTW approach. The hypothesis is that dupilumab-treated patients will show greater reductions in depressive symptoms, consistent with the established relationship between skin disease burden and psychological well-being.</w:t>
      </w:r>
    </w:p>
    <w:p>
      <w:pPr>
        <w:pStyle w:val="BodyText"/>
      </w:pPr>
      <w:r>
        <w:rPr>
          <w:b/>
          <w:bCs/>
        </w:rPr>
        <w:t xml:space="preserve">Aim 3: Examine whether treatment effects vary by age, sex, and race.</w:t>
      </w:r>
      <w:r>
        <w:t xml:space="preserve"> </w:t>
      </w:r>
      <w:r>
        <w:t xml:space="preserve">Prespecified interaction terms will test for effect modification by demographic characteristics. This aim will identify subgroups that may experience differential benefits and will surface potential disparities in treatment outcomes. Insurance status and socioeconomic factors will be examined as exploratory moderators.</w:t>
      </w:r>
    </w:p>
    <w:p>
      <w:pPr>
        <w:pStyle w:val="BodyText"/>
      </w:pPr>
      <w:r>
        <w:t xml:space="preserve">The expected output is real-world comparative effectiveness evidence on patient-reported outcomes in AD that is directly relevant to clinical decision-making. Secondary contributions include characterizing disease symptom trajectories under routine care, supporting the use of DLQI and PHQ-9 as endpoints in future clinical studies, and identifying sources of treatment effect heterogeneity that can inform efforts to reduce disparities in AD care. This work aligns with the NIAMS mission to improve outcomes and function in patients with skin conditions.</w:t>
      </w:r>
    </w:p>
    <w:p>
      <w:r>
        <w:br w:type="page"/>
      </w:r>
    </w:p>
    <w:bookmarkEnd w:id="9"/>
    <w:bookmarkStart w:id="36" w:name="research-strategy"/>
    <w:p>
      <w:pPr>
        <w:pStyle w:val="Heading1"/>
      </w:pPr>
      <w:r>
        <w:t xml:space="preserve">2. Research Strategy</w:t>
      </w:r>
    </w:p>
    <w:bookmarkStart w:id="15" w:name="significance"/>
    <w:p>
      <w:pPr>
        <w:pStyle w:val="Heading2"/>
      </w:pPr>
      <w:r>
        <w:t xml:space="preserve">2.1 Significance</w:t>
      </w:r>
    </w:p>
    <w:bookmarkStart w:id="10" w:name="burden-of-atopic-dermatitis"/>
    <w:p>
      <w:pPr>
        <w:pStyle w:val="Heading3"/>
      </w:pPr>
      <w:r>
        <w:t xml:space="preserve">2.1.1 Burden of atopic dermatitis</w:t>
      </w:r>
    </w:p>
    <w:p>
      <w:pPr>
        <w:pStyle w:val="FirstParagraph"/>
      </w:pPr>
      <w:r>
        <w:t xml:space="preserve">AD is the most common chronic inflammatory skin disease and affects a substantial proportion of US adults</w:t>
      </w:r>
      <w:r>
        <w:t xml:space="preserve"> </w:t>
      </w:r>
      <w:r>
        <w:t xml:space="preserve">(Silverberg and Hanifin 2013)</w:t>
      </w:r>
      <w:r>
        <w:t xml:space="preserve">. The condition is characterized by intense pruritus, erythematous and excoriated lesions, and a relapsing-remitting course that meaningfully diminishes quality of life. The associated sleep disturbance, social stigma, impaired work productivity, and elevated rates of depression and anxiety amplify this burden considerably</w:t>
      </w:r>
      <w:r>
        <w:t xml:space="preserve"> </w:t>
      </w:r>
      <w:r>
        <w:t xml:space="preserve">(Yu et al. 2018)</w:t>
      </w:r>
      <w:r>
        <w:t xml:space="preserve">. The psychosocial impact of moderate-to-severe AD can be comparable to that of asthma and diabetes</w:t>
      </w:r>
      <w:r>
        <w:t xml:space="preserve"> </w:t>
      </w:r>
      <w:r>
        <w:t xml:space="preserve">(Eckert et al. 2017)</w:t>
      </w:r>
      <w:r>
        <w:t xml:space="preserve">, and the outcomes patients care about most are experiential: how the disease affects daily activities, relationships, and emotional well-being rather than the specific values on a clinical severity scale.</w:t>
      </w:r>
    </w:p>
    <w:bookmarkEnd w:id="10"/>
    <w:bookmarkStart w:id="11" w:name="Xfd670677bc8adce16cfcd2443519cb9aa72afaa"/>
    <w:p>
      <w:pPr>
        <w:pStyle w:val="Heading3"/>
      </w:pPr>
      <w:r>
        <w:t xml:space="preserve">2.1.2 Treatment options and the limits of current evidence</w:t>
      </w:r>
    </w:p>
    <w:p>
      <w:pPr>
        <w:pStyle w:val="FirstParagraph"/>
      </w:pPr>
      <w:r>
        <w:t xml:space="preserve">Conventional therapy includes topical corticosteroids, calcineurin inhibitors, and systemic immunosuppressants such as cyclosporine, methotrexate, and mycophenolate mofetil. These agents can reduce disease severity but carry risks of long-term toxicity and yield variable efficacy</w:t>
      </w:r>
      <w:r>
        <w:t xml:space="preserve"> </w:t>
      </w:r>
      <w:r>
        <w:t xml:space="preserve">(Eichenfield et al. 2014)</w:t>
      </w:r>
      <w:r>
        <w:t xml:space="preserve">. Dupilumab, the first FDA-approved biologic for AD, has demonstrated efficacy in pivotal randomized trials</w:t>
      </w:r>
      <w:r>
        <w:t xml:space="preserve"> </w:t>
      </w:r>
      <w:r>
        <w:t xml:space="preserve">(Simpson et al. 2016)</w:t>
      </w:r>
      <w:r>
        <w:t xml:space="preserve">. Those trials, however, enrolled highly selected populations under controlled conditions. Their findings do not necessarily extend to the broader population seen in routine practice, where adherence is lower, comorbidities are common, and clinical monitoring is less frequent.</w:t>
      </w:r>
    </w:p>
    <w:bookmarkEnd w:id="11"/>
    <w:bookmarkStart w:id="12" w:name="X9423de010d888873918de8fc352754b16e3e3b2"/>
    <w:p>
      <w:pPr>
        <w:pStyle w:val="Heading3"/>
      </w:pPr>
      <w:r>
        <w:t xml:space="preserve">2.1.3 Gaps in patient-reported outcomes evidence</w:t>
      </w:r>
    </w:p>
    <w:p>
      <w:pPr>
        <w:pStyle w:val="FirstParagraph"/>
      </w:pPr>
      <w:r>
        <w:t xml:space="preserve">Despite growing adoption of dupilumab, head-to-head observational comparisons of patient-reported outcomes between biologic and conventional therapy in real-world settings remain limited. Most existing studies rely on clinician-assessed severity scores such as EASI and SCORAD</w:t>
      </w:r>
      <w:r>
        <w:t xml:space="preserve"> </w:t>
      </w:r>
      <w:r>
        <w:t xml:space="preserve">(Chopra and Silverberg 2018)</w:t>
      </w:r>
      <w:r>
        <w:t xml:space="preserve">. Clinical severity captures important biological information but does not reflect the full scope of what patients experience. DLQI was chosen for this study because it is a condition-specific instrument that captures the particular impact of skin disease on daily life, and because condition-specific measures tend to be more responsive to treatment-related change than generic measures when a real treatment effect is present. PHQ-9 adds a complementary dimension by capturing depressive symptom burden, which is a recognized comorbidity that amplifies overall disease impact. The pairing of these two instruments produces a more complete picture of how treatments affect patients than either clinical severity scores or generic health measures alone.</w:t>
      </w:r>
    </w:p>
    <w:bookmarkEnd w:id="12"/>
    <w:bookmarkStart w:id="13" w:name="Xf65208942643a504d272777587681997ab91131"/>
    <w:p>
      <w:pPr>
        <w:pStyle w:val="Heading3"/>
      </w:pPr>
      <w:r>
        <w:t xml:space="preserve">2.1.4 Financial toxicity and access disparities</w:t>
      </w:r>
    </w:p>
    <w:p>
      <w:pPr>
        <w:pStyle w:val="FirstParagraph"/>
      </w:pPr>
      <w:r>
        <w:t xml:space="preserve">Out-of-pocket costs for dupilumab vary widely depending on insurance coverage, ranging from minimal copayments to several thousand dollars annually</w:t>
      </w:r>
      <w:r>
        <w:t xml:space="preserve"> </w:t>
      </w:r>
      <w:r>
        <w:t xml:space="preserve">(Drucker et al. 2017)</w:t>
      </w:r>
      <w:r>
        <w:t xml:space="preserve">. This variation creates selection effects in who receives biologic therapy, with implications for both the internal validity of observational comparisons and for health equity. Financial burden can also independently worsen depression scores and reduce adherence, potentially attenuating treatment benefits regardless of pharmacologic efficacy. These cost-related dynamics must be accounted for when interpreting PRO differences between treatment groups and when designing future studies that address economic barriers to care.</w:t>
      </w:r>
    </w:p>
    <w:bookmarkEnd w:id="13"/>
    <w:bookmarkStart w:id="14" w:name="importance-to-the-field"/>
    <w:p>
      <w:pPr>
        <w:pStyle w:val="Heading3"/>
      </w:pPr>
      <w:r>
        <w:t xml:space="preserve">2.1.5 Importance to the field</w:t>
      </w:r>
    </w:p>
    <w:p>
      <w:pPr>
        <w:pStyle w:val="FirstParagraph"/>
      </w:pPr>
      <w:r>
        <w:t xml:space="preserve">By generating the kind of observational evidence that PAR-24-280 is designed to support, this project will provide data that directly inform the design of future clinical studies in AD, including identification of appropriate primary endpoints and characterization of the subgroups most likely to benefit from biologic therapy.</w:t>
      </w:r>
    </w:p>
    <w:bookmarkEnd w:id="14"/>
    <w:bookmarkEnd w:id="15"/>
    <w:bookmarkStart w:id="16" w:name="innovation"/>
    <w:p>
      <w:pPr>
        <w:pStyle w:val="Heading2"/>
      </w:pPr>
      <w:r>
        <w:t xml:space="preserve">2.2 Innovation</w:t>
      </w:r>
    </w:p>
    <w:p>
      <w:pPr>
        <w:pStyle w:val="FirstParagraph"/>
      </w:pPr>
      <w:r>
        <w:t xml:space="preserve">This proposal advances the field in five respects.</w:t>
      </w:r>
    </w:p>
    <w:p>
      <w:pPr>
        <w:pStyle w:val="BodyText"/>
      </w:pPr>
      <w:r>
        <w:rPr>
          <w:i/>
          <w:iCs/>
        </w:rPr>
        <w:t xml:space="preserve">Dual patient-reported outcome focus.</w:t>
      </w:r>
      <w:r>
        <w:t xml:space="preserve"> </w:t>
      </w:r>
      <w:r>
        <w:t xml:space="preserve">Existing comparative studies of AD treatments have predominantly relied on clinician-assessed severity endpoints</w:t>
      </w:r>
      <w:r>
        <w:t xml:space="preserve"> </w:t>
      </w:r>
      <w:r>
        <w:t xml:space="preserve">(Chopra and Silverberg 2018)</w:t>
      </w:r>
      <w:r>
        <w:t xml:space="preserve">. Centering this study on two validated patient-reported instruments as co-primary outcomes shifts the evidentiary focus toward what patients experience. DLQI captures disease-specific impact on daily life and has strong responsiveness in dermatology populations; PHQ-9 captures psychological burden and is widely established for depression screening and severity assessment. Pairing a condition-specific instrument with a mental health instrument is uncommon in comparative AD research and reflects the multidimensional nature of disease impact.</w:t>
      </w:r>
    </w:p>
    <w:p>
      <w:pPr>
        <w:pStyle w:val="BodyText"/>
      </w:pPr>
      <w:r>
        <w:rPr>
          <w:i/>
          <w:iCs/>
        </w:rPr>
        <w:t xml:space="preserve">Integration of mental health outcomes in dermatology research.</w:t>
      </w:r>
      <w:r>
        <w:t xml:space="preserve"> </w:t>
      </w:r>
      <w:r>
        <w:t xml:space="preserve">Depression is a recognized comorbidity of AD</w:t>
      </w:r>
      <w:r>
        <w:t xml:space="preserve"> </w:t>
      </w:r>
      <w:r>
        <w:t xml:space="preserve">(Yu et al. 2018)</w:t>
      </w:r>
      <w:r>
        <w:t xml:space="preserve">, but few observational studies have systematically tracked depressive symptom trajectories across treatment strategies. Including PHQ-9 as a primary endpoint alongside DLQI makes the psychological dimension of treatment benefit testable rather than assumed.</w:t>
      </w:r>
    </w:p>
    <w:p>
      <w:pPr>
        <w:pStyle w:val="BodyText"/>
      </w:pPr>
      <w:r>
        <w:rPr>
          <w:i/>
          <w:iCs/>
        </w:rPr>
        <w:t xml:space="preserve">Systematic evaluation of treatment effect heterogeneity.</w:t>
      </w:r>
      <w:r>
        <w:t xml:space="preserve"> </w:t>
      </w:r>
      <w:r>
        <w:t xml:space="preserve">A single average treatment effect can mask substantial variation across subgroups. This study formally tests whether benefits differ by age, sex, and race. Given documented disparities in AD treatment access across demographic groups</w:t>
      </w:r>
      <w:r>
        <w:t xml:space="preserve"> </w:t>
      </w:r>
      <w:r>
        <w:t xml:space="preserve">(Tackett et al. 2020)</w:t>
      </w:r>
      <w:r>
        <w:t xml:space="preserve">, this approach identifies subgroups that may experience differential benefits. Effect modification will be assessed through formal interaction tests rather than side-by-side comparison of significance labels across strata, the latter being a common but invalid way to establish that effects truly differ.</w:t>
      </w:r>
    </w:p>
    <w:p>
      <w:pPr>
        <w:pStyle w:val="BodyText"/>
      </w:pPr>
      <w:r>
        <w:rPr>
          <w:i/>
          <w:iCs/>
        </w:rPr>
        <w:t xml:space="preserve">Methodological rigor in addressing confounding by indication.</w:t>
      </w:r>
      <w:r>
        <w:t xml:space="preserve"> </w:t>
      </w:r>
      <w:r>
        <w:t xml:space="preserve">Patients receiving dupilumab typically have more severe, refractory disease than those on conventional therapy. IPTW will create a pseudo-population in which measured baseline covariates are balanced across treatment groups, and covariate balance will be verified through standardized mean differences (threshold: SMD &lt; 0.1) and propensity score overlap to evaluate positivity. E-value sensitivity analyses will quantify how strong an unmeasured confounder would need to be to explain away observed effects</w:t>
      </w:r>
      <w:r>
        <w:t xml:space="preserve"> </w:t>
      </w:r>
      <w:r>
        <w:t xml:space="preserve">(VanderWeele and Ding 2017)</w:t>
      </w:r>
      <w:r>
        <w:t xml:space="preserve">. The combination provides a transparent framework for causal interpretation in an observational setting.</w:t>
      </w:r>
    </w:p>
    <w:p>
      <w:pPr>
        <w:pStyle w:val="BodyText"/>
      </w:pPr>
      <w:r>
        <w:rPr>
          <w:i/>
          <w:iCs/>
        </w:rPr>
        <w:t xml:space="preserve">Emphasis on clinical meaningfulness.</w:t>
      </w:r>
      <w:r>
        <w:t xml:space="preserve"> </w:t>
      </w:r>
      <w:r>
        <w:t xml:space="preserve">Interpretation will center on effect size, confidence interval width, and compatibility with established MCIDs (DLQI: 4 points,</w:t>
      </w:r>
      <w:r>
        <w:t xml:space="preserve"> </w:t>
      </w:r>
      <w:r>
        <w:t xml:space="preserve">(Basra et al. 2015)</w:t>
      </w:r>
      <w:r>
        <w:t xml:space="preserve">; PHQ-9: 5 points,</w:t>
      </w:r>
      <w:r>
        <w:t xml:space="preserve"> </w:t>
      </w:r>
      <w:r>
        <w:t xml:space="preserve">(Kroenke et al. 2001)</w:t>
      </w:r>
      <w:r>
        <w:t xml:space="preserve">), rather than on whether a result crosses a p-value threshold. Statistically significant findings do not guarantee clinically important effects, particularly in large samples where small differences can produce low p-values. Nonsignificant findings in smaller samples may reflect imprecision rather than absence of effect. Interpretation grounded in effect magnitude and clinical thresholds is more useful for treatment decisions than a binary significance label.</w:t>
      </w:r>
    </w:p>
    <w:bookmarkEnd w:id="16"/>
    <w:bookmarkStart w:id="35" w:name="approach"/>
    <w:p>
      <w:pPr>
        <w:pStyle w:val="Heading2"/>
      </w:pPr>
      <w:r>
        <w:t xml:space="preserve">2.3 Approach</w:t>
      </w:r>
    </w:p>
    <w:bookmarkStart w:id="23" w:name="overview-and-conceptual-model"/>
    <w:p>
      <w:pPr>
        <w:pStyle w:val="Heading3"/>
      </w:pPr>
      <w:r>
        <w:t xml:space="preserve">2.3.1 Overview and conceptual model</w:t>
      </w:r>
    </w:p>
    <w:p>
      <w:pPr>
        <w:pStyle w:val="FirstParagraph"/>
      </w:pPr>
      <w:r>
        <w:t xml:space="preserve">This prospective cohort study will compare patient-reported outcomes between adults with moderate-to-severe AD initiating dupilumab versus conventional therapy. The conceptual model serves as the organizing framework: treatment type (the primary exposure) affects disease activity, itch intensity, and sleep disturbance, which in turn influence DLQI and PHQ-9. Confounders including baseline disease severity, treatment history, insurance status, comorbidities, and socioeconomic factors affect both treatment selection and outcomes and must be addressed through propensity score methods. The model assigns each variable an explicit role as exposure, mediator, moderator, or confounder, which prevents the analysis from devolving into a list of variables without rationale and ensures every analytic decision ties back to the hypothesized causal structure.</w:t>
      </w:r>
    </w:p>
    <w:bookmarkStart w:id="22" w:name="cell-fig-conceptual-model"/>
    <w:tbl>
      <w:tblPr>
        <w:tblStyle w:val="Table"/>
        <w:tblW w:type="pct" w:w="5000"/>
        <w:tblLayout w:type="fixed"/>
        <w:tblLook w:firstRow="0" w:lastRow="0" w:firstColumn="0" w:lastColumn="0" w:noHBand="0" w:noVBand="0" w:val="0000"/>
      </w:tblPr>
      <w:tblGrid>
        <w:gridCol w:w="7920"/>
      </w:tblGrid>
      <w:tr>
        <w:tc>
          <w:tcPr/>
          <w:bookmarkStart w:id="20" w:name="fig-conceptual-model"/>
          <w:p>
            <w:pPr>
              <w:pStyle w:val="Compact"/>
              <w:jc w:val="center"/>
            </w:pPr>
            <w:r>
              <w:drawing>
                <wp:inline>
                  <wp:extent cx="5334000" cy="4267200"/>
                  <wp:effectExtent b="0" l="0" r="0" t="0"/>
                  <wp:docPr descr="" title="" id="18" name="Picture"/>
                  <a:graphic>
                    <a:graphicData uri="http://schemas.openxmlformats.org/drawingml/2006/picture">
                      <pic:pic>
                        <pic:nvPicPr>
                          <pic:cNvPr descr="index_files/figure-docx/fig-conceptual-model-1.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Conceptual model. The primary causal pathway runs from treatment through mediators to outcomes. Confounders influence both treatment selection and outcomes, creating the need for propensity score adjustment.</w:t>
            </w:r>
          </w:p>
          <w:bookmarkEnd w:id="20"/>
        </w:tc>
      </w:tr>
    </w:tbl>
    <w:p>
      <w:pPr>
        <w:pStyle w:val="BodyText"/>
      </w:pPr>
      <w:r>
        <w:rPr>
          <w:vertAlign w:val="subscript"/>
        </w:rPr>
        <w:t xml:space="preserve">Source:</w:t>
      </w:r>
      <w:r>
        <w:rPr>
          <w:vertAlign w:val="subscript"/>
        </w:rPr>
        <w:t xml:space="preserve"> </w:t>
      </w:r>
      <w:hyperlink r:id="rId21">
        <w:r>
          <w:rPr>
            <w:rStyle w:val="Hyperlink"/>
            <w:vertAlign w:val="subscript"/>
          </w:rPr>
          <w:t xml:space="preserve">Article Notebook</w:t>
        </w:r>
      </w:hyperlink>
    </w:p>
    <w:bookmarkEnd w:id="22"/>
    <w:bookmarkEnd w:id="23"/>
    <w:bookmarkStart w:id="24" w:name="study-design"/>
    <w:p>
      <w:pPr>
        <w:pStyle w:val="Heading3"/>
      </w:pPr>
      <w:r>
        <w:t xml:space="preserve">2.3.2 Study design</w:t>
      </w:r>
    </w:p>
    <w:p>
      <w:pPr>
        <w:pStyle w:val="FirstParagraph"/>
      </w:pPr>
      <w:r>
        <w:t xml:space="preserve">A prospective cohort design is appropriate because randomizing patients to dupilumab versus conventional therapy is neither practical nor ethical. Dupilumab is typically prescribed after conventional options have failed, and insurance authorization creates natural treatment pathways that a research protocol cannot easily override. Two cohorts will be enrolled at treatment initiation and followed for 12 months, with PROs collected at baseline and at 3, 6, and 12 months. Prospective collection ensures standardized outcome measurement rather than reliance on inconsistently documented chart data.</w:t>
      </w:r>
    </w:p>
    <w:p>
      <w:pPr>
        <w:pStyle w:val="BodyText"/>
      </w:pPr>
      <w:r>
        <w:t xml:space="preserve">The principal threat to validity is confounding by indication. Dupilumab recipients tend to have more severe disease, meaning baseline differences between groups could bias observed associations. This is a structural problem that propensity score methods partially address for measured confounders but cannot address for unmeasured ones, which is why sensitivity analyses are essential.</w:t>
      </w:r>
    </w:p>
    <w:bookmarkEnd w:id="24"/>
    <w:bookmarkStart w:id="25" w:name="study-population-and-data-source"/>
    <w:p>
      <w:pPr>
        <w:pStyle w:val="Heading3"/>
      </w:pPr>
      <w:r>
        <w:t xml:space="preserve">2.3.3 Study population and data source</w:t>
      </w:r>
    </w:p>
    <w:p>
      <w:pPr>
        <w:pStyle w:val="FirstParagraph"/>
      </w:pPr>
      <w:r>
        <w:t xml:space="preserve">EHR data from a large academic medical center with an active dermatology specialty clinic will be used. EHR data add clinical detail that administrative claims often lack, including laboratory values, disease severity markers, and clinical notes that are essential when outcome ascertainment depends on timing and clinical context. The study population includes adults (age 18 and older) with moderate-to-severe AD confirmed by ICD-10 diagnostic codes and baseline EASI scores of 16 or higher, who initiated either dupilumab or conventional systemic therapy between 2020 and 2025. At least one baseline and one follow-up PRO assessment are required. Exclusion criteria are concurrent use of other biologic agents, participation in interventional clinical trials during the study period, and diagnoses of other inflammatory skin conditions that could confound outcome assessment.</w:t>
      </w:r>
    </w:p>
    <w:p>
      <w:pPr>
        <w:pStyle w:val="BodyText"/>
      </w:pPr>
      <w:r>
        <w:t xml:space="preserve">DLQI and PHQ-9 will be extracted from routine clinical assessments documented at baseline and follow-up visits. Both instruments have established reliability, validity, and responsiveness, and both are widely used in clinical practice, which helps maximize data availability and minimize respondent burden. Additional data elements include demographics (age, sex, race/ethnicity), EASI scores, treatment history (number of prior systemic therapies), comorbidities including prior depression/anxiety diagnoses, insurance type, and socioeconomic indicators.</w:t>
      </w:r>
    </w:p>
    <w:bookmarkEnd w:id="25"/>
    <w:bookmarkStart w:id="27" w:name="variables-and-measurement"/>
    <w:p>
      <w:pPr>
        <w:pStyle w:val="Heading3"/>
      </w:pPr>
      <w:r>
        <w:t xml:space="preserve">2.3.4 Variables and measurement</w:t>
      </w:r>
    </w:p>
    <w:tbl>
      <w:tblPr>
        <w:tblStyle w:val="Table"/>
        <w:tblW w:type="pct" w:w="5000"/>
        <w:tblLayout w:type="fixed"/>
        <w:tblLook w:firstRow="0" w:lastRow="0" w:firstColumn="0" w:lastColumn="0" w:noHBand="0" w:noVBand="0" w:val="0000"/>
      </w:tblPr>
      <w:tblGrid>
        <w:gridCol w:w="7920"/>
      </w:tblGrid>
      <w:tr>
        <w:tc>
          <w:tcPr/>
          <w:bookmarkStart w:id="26" w:name="tbl-variables"/>
          <w:p>
            <w:pPr>
              <w:jc w:val="center"/>
            </w:pPr>
            <w:pPr>
              <w:jc w:val="left"/>
              <w:spacing w:before="200"/>
              <w:pStyle w:val="ImageCaption"/>
            </w:pPr>
            <w:r>
              <w:t xml:space="preserve">Table 1: Study variables and measurement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Variable Type</w:t>
                  </w:r>
                </w:p>
              </w:tc>
              <w:tc>
                <w:tcPr/>
                <w:p>
                  <w:pPr>
                    <w:pStyle w:val="Compact"/>
                    <w:jc w:val="center"/>
                  </w:pPr>
                  <w:r>
                    <w:t xml:space="preserve">Variable</w:t>
                  </w:r>
                </w:p>
              </w:tc>
              <w:tc>
                <w:tcPr/>
                <w:p>
                  <w:pPr>
                    <w:pStyle w:val="Compact"/>
                    <w:jc w:val="center"/>
                  </w:pPr>
                  <w:r>
                    <w:t xml:space="preserve">Description</w:t>
                  </w:r>
                </w:p>
              </w:tc>
              <w:tc>
                <w:tcPr/>
                <w:p>
                  <w:pPr>
                    <w:pStyle w:val="Compact"/>
                    <w:jc w:val="center"/>
                  </w:pPr>
                  <w:r>
                    <w:t xml:space="preserve">Measurement</w:t>
                  </w:r>
                </w:p>
              </w:tc>
              <w:tc>
                <w:tcPr/>
                <w:p>
                  <w:pPr>
                    <w:pStyle w:val="Compact"/>
                    <w:jc w:val="center"/>
                  </w:pPr>
                  <w:r>
                    <w:t xml:space="preserve">Scale</w:t>
                  </w:r>
                </w:p>
              </w:tc>
            </w:tr>
            <w:tr>
              <w:tc>
                <w:tcPr/>
                <w:p>
                  <w:pPr>
                    <w:pStyle w:val="Compact"/>
                    <w:jc w:val="center"/>
                  </w:pPr>
                  <w:r>
                    <w:t xml:space="preserve">Primary Exposure</w:t>
                  </w:r>
                </w:p>
              </w:tc>
              <w:tc>
                <w:tcPr/>
                <w:p>
                  <w:pPr>
                    <w:pStyle w:val="Compact"/>
                    <w:jc w:val="center"/>
                  </w:pPr>
                  <w:r>
                    <w:t xml:space="preserve">Treatment group</w:t>
                  </w:r>
                </w:p>
              </w:tc>
              <w:tc>
                <w:tcPr/>
                <w:p>
                  <w:pPr>
                    <w:pStyle w:val="Compact"/>
                    <w:jc w:val="center"/>
                  </w:pPr>
                  <w:r>
                    <w:t xml:space="preserve">Dupilumab vs. conventional therapy</w:t>
                  </w:r>
                </w:p>
              </w:tc>
              <w:tc>
                <w:tcPr/>
                <w:p>
                  <w:pPr>
                    <w:pStyle w:val="Compact"/>
                    <w:jc w:val="center"/>
                  </w:pPr>
                  <w:r>
                    <w:t xml:space="preserve">EHR prescription records</w:t>
                  </w:r>
                </w:p>
              </w:tc>
              <w:tc>
                <w:tcPr/>
                <w:p>
                  <w:pPr>
                    <w:pStyle w:val="Compact"/>
                    <w:jc w:val="center"/>
                  </w:pPr>
                  <w:r>
                    <w:t xml:space="preserve">Categorical</w:t>
                  </w:r>
                </w:p>
              </w:tc>
            </w:tr>
            <w:tr>
              <w:tc>
                <w:tcPr/>
                <w:p>
                  <w:pPr>
                    <w:pStyle w:val="Compact"/>
                    <w:jc w:val="center"/>
                  </w:pPr>
                  <w:r>
                    <w:t xml:space="preserve">Primary Outcome</w:t>
                  </w:r>
                </w:p>
              </w:tc>
              <w:tc>
                <w:tcPr/>
                <w:p>
                  <w:pPr>
                    <w:pStyle w:val="Compact"/>
                    <w:jc w:val="center"/>
                  </w:pPr>
                  <w:r>
                    <w:t xml:space="preserve">Disease-specific QoL</w:t>
                  </w:r>
                </w:p>
              </w:tc>
              <w:tc>
                <w:tcPr/>
                <w:p>
                  <w:pPr>
                    <w:pStyle w:val="Compact"/>
                    <w:jc w:val="center"/>
                  </w:pPr>
                  <w:r>
                    <w:t xml:space="preserve">DLQI change score (baseline to 12 months)</w:t>
                  </w:r>
                </w:p>
              </w:tc>
              <w:tc>
                <w:tcPr/>
                <w:p>
                  <w:pPr>
                    <w:pStyle w:val="Compact"/>
                    <w:jc w:val="center"/>
                  </w:pPr>
                  <w:r>
                    <w:t xml:space="preserve">Range: 0-30</w:t>
                  </w:r>
                </w:p>
              </w:tc>
              <w:tc>
                <w:tcPr/>
                <w:p>
                  <w:pPr>
                    <w:pStyle w:val="Compact"/>
                    <w:jc w:val="center"/>
                  </w:pPr>
                  <w:r>
                    <w:t xml:space="preserve">Continuous</w:t>
                  </w:r>
                </w:p>
              </w:tc>
            </w:tr>
            <w:tr>
              <w:tc>
                <w:tcPr/>
                <w:p>
                  <w:pPr>
                    <w:pStyle w:val="Compact"/>
                    <w:jc w:val="center"/>
                  </w:pPr>
                  <w:r>
                    <w:t xml:space="preserve">Primary Outcome</w:t>
                  </w:r>
                </w:p>
              </w:tc>
              <w:tc>
                <w:tcPr/>
                <w:p>
                  <w:pPr>
                    <w:pStyle w:val="Compact"/>
                    <w:jc w:val="center"/>
                  </w:pPr>
                  <w:r>
                    <w:t xml:space="preserve">Depressive symptoms</w:t>
                  </w:r>
                </w:p>
              </w:tc>
              <w:tc>
                <w:tcPr/>
                <w:p>
                  <w:pPr>
                    <w:pStyle w:val="Compact"/>
                    <w:jc w:val="center"/>
                  </w:pPr>
                  <w:r>
                    <w:t xml:space="preserve">PHQ-9 change score (baseline to 12 months)</w:t>
                  </w:r>
                </w:p>
              </w:tc>
              <w:tc>
                <w:tcPr/>
                <w:p>
                  <w:pPr>
                    <w:pStyle w:val="Compact"/>
                    <w:jc w:val="center"/>
                  </w:pPr>
                  <w:r>
                    <w:t xml:space="preserve">Range: 0-27</w:t>
                  </w:r>
                </w:p>
              </w:tc>
              <w:tc>
                <w:tcPr/>
                <w:p>
                  <w:pPr>
                    <w:pStyle w:val="Compact"/>
                    <w:jc w:val="center"/>
                  </w:pPr>
                  <w:r>
                    <w:t xml:space="preserve">Continuous</w:t>
                  </w:r>
                </w:p>
              </w:tc>
            </w:tr>
            <w:tr>
              <w:tc>
                <w:tcPr/>
                <w:p>
                  <w:pPr>
                    <w:pStyle w:val="Compact"/>
                    <w:jc w:val="center"/>
                  </w:pPr>
                  <w:r>
                    <w:t xml:space="preserve">Confounder</w:t>
                  </w:r>
                </w:p>
              </w:tc>
              <w:tc>
                <w:tcPr/>
                <w:p>
                  <w:pPr>
                    <w:pStyle w:val="Compact"/>
                    <w:jc w:val="center"/>
                  </w:pPr>
                  <w:r>
                    <w:t xml:space="preserve">Age</w:t>
                  </w:r>
                </w:p>
              </w:tc>
              <w:tc>
                <w:tcPr/>
                <w:p>
                  <w:pPr>
                    <w:pStyle w:val="Compact"/>
                    <w:jc w:val="center"/>
                  </w:pPr>
                  <w:r>
                    <w:t xml:space="preserve">Patient age at enrollment</w:t>
                  </w:r>
                </w:p>
              </w:tc>
              <w:tc>
                <w:tcPr/>
                <w:p>
                  <w:pPr>
                    <w:pStyle w:val="Compact"/>
                    <w:jc w:val="center"/>
                  </w:pPr>
                  <w:r>
                    <w:t xml:space="preserve">Years</w:t>
                  </w:r>
                </w:p>
              </w:tc>
              <w:tc>
                <w:tcPr/>
                <w:p>
                  <w:pPr>
                    <w:pStyle w:val="Compact"/>
                    <w:jc w:val="center"/>
                  </w:pPr>
                  <w:r>
                    <w:t xml:space="preserve">Continuous</w:t>
                  </w:r>
                </w:p>
              </w:tc>
            </w:tr>
            <w:tr>
              <w:tc>
                <w:tcPr/>
                <w:p>
                  <w:pPr>
                    <w:pStyle w:val="Compact"/>
                    <w:jc w:val="center"/>
                  </w:pPr>
                  <w:r>
                    <w:t xml:space="preserve">Confounder</w:t>
                  </w:r>
                </w:p>
              </w:tc>
              <w:tc>
                <w:tcPr/>
                <w:p>
                  <w:pPr>
                    <w:pStyle w:val="Compact"/>
                    <w:jc w:val="center"/>
                  </w:pPr>
                  <w:r>
                    <w:t xml:space="preserve">Sex</w:t>
                  </w:r>
                </w:p>
              </w:tc>
              <w:tc>
                <w:tcPr/>
                <w:p>
                  <w:pPr>
                    <w:pStyle w:val="Compact"/>
                    <w:jc w:val="center"/>
                  </w:pPr>
                  <w:r>
                    <w:t xml:space="preserve">Male or female</w:t>
                  </w:r>
                </w:p>
              </w:tc>
              <w:tc>
                <w:tcPr/>
                <w:p>
                  <w:pPr>
                    <w:pStyle w:val="Compact"/>
                    <w:jc w:val="center"/>
                  </w:pPr>
                  <w:r>
                    <w:t xml:space="preserve">Self-report</w:t>
                  </w:r>
                </w:p>
              </w:tc>
              <w:tc>
                <w:tcPr/>
                <w:p>
                  <w:pPr>
                    <w:pStyle w:val="Compact"/>
                    <w:jc w:val="center"/>
                  </w:pPr>
                  <w:r>
                    <w:t xml:space="preserve">Categorical</w:t>
                  </w:r>
                </w:p>
              </w:tc>
            </w:tr>
            <w:tr>
              <w:tc>
                <w:tcPr/>
                <w:p>
                  <w:pPr>
                    <w:pStyle w:val="Compact"/>
                    <w:jc w:val="center"/>
                  </w:pPr>
                  <w:r>
                    <w:t xml:space="preserve">Confounder</w:t>
                  </w:r>
                </w:p>
              </w:tc>
              <w:tc>
                <w:tcPr/>
                <w:p>
                  <w:pPr>
                    <w:pStyle w:val="Compact"/>
                    <w:jc w:val="center"/>
                  </w:pPr>
                  <w:r>
                    <w:t xml:space="preserve">Race/ethnicity</w:t>
                  </w:r>
                </w:p>
              </w:tc>
              <w:tc>
                <w:tcPr/>
                <w:p>
                  <w:pPr>
                    <w:pStyle w:val="Compact"/>
                    <w:jc w:val="center"/>
                  </w:pPr>
                  <w:r>
                    <w:t xml:space="preserve">Race/ethnic group</w:t>
                  </w:r>
                </w:p>
              </w:tc>
              <w:tc>
                <w:tcPr/>
                <w:p>
                  <w:pPr>
                    <w:pStyle w:val="Compact"/>
                    <w:jc w:val="center"/>
                  </w:pPr>
                  <w:r>
                    <w:t xml:space="preserve">EHR demographics</w:t>
                  </w:r>
                </w:p>
              </w:tc>
              <w:tc>
                <w:tcPr/>
                <w:p>
                  <w:pPr>
                    <w:pStyle w:val="Compact"/>
                    <w:jc w:val="center"/>
                  </w:pPr>
                  <w:r>
                    <w:t xml:space="preserve">Categorical</w:t>
                  </w:r>
                </w:p>
              </w:tc>
            </w:tr>
            <w:tr>
              <w:tc>
                <w:tcPr/>
                <w:p>
                  <w:pPr>
                    <w:pStyle w:val="Compact"/>
                    <w:jc w:val="center"/>
                  </w:pPr>
                  <w:r>
                    <w:t xml:space="preserve">Confounder</w:t>
                  </w:r>
                </w:p>
              </w:tc>
              <w:tc>
                <w:tcPr/>
                <w:p>
                  <w:pPr>
                    <w:pStyle w:val="Compact"/>
                    <w:jc w:val="center"/>
                  </w:pPr>
                  <w:r>
                    <w:t xml:space="preserve">Baseline EASI score</w:t>
                  </w:r>
                </w:p>
              </w:tc>
              <w:tc>
                <w:tcPr/>
                <w:p>
                  <w:pPr>
                    <w:pStyle w:val="Compact"/>
                    <w:jc w:val="center"/>
                  </w:pPr>
                  <w:r>
                    <w:t xml:space="preserve">Disease severity at enrollment</w:t>
                  </w:r>
                </w:p>
              </w:tc>
              <w:tc>
                <w:tcPr/>
                <w:p>
                  <w:pPr>
                    <w:pStyle w:val="Compact"/>
                    <w:jc w:val="center"/>
                  </w:pPr>
                  <w:r>
                    <w:t xml:space="preserve">Range: 0-72</w:t>
                  </w:r>
                </w:p>
              </w:tc>
              <w:tc>
                <w:tcPr/>
                <w:p>
                  <w:pPr>
                    <w:pStyle w:val="Compact"/>
                    <w:jc w:val="center"/>
                  </w:pPr>
                  <w:r>
                    <w:t xml:space="preserve">Continuous</w:t>
                  </w:r>
                </w:p>
              </w:tc>
            </w:tr>
            <w:tr>
              <w:tc>
                <w:tcPr/>
                <w:p>
                  <w:pPr>
                    <w:pStyle w:val="Compact"/>
                    <w:jc w:val="center"/>
                  </w:pPr>
                  <w:r>
                    <w:t xml:space="preserve">Confounder</w:t>
                  </w:r>
                </w:p>
              </w:tc>
              <w:tc>
                <w:tcPr/>
                <w:p>
                  <w:pPr>
                    <w:pStyle w:val="Compact"/>
                    <w:jc w:val="center"/>
                  </w:pPr>
                  <w:r>
                    <w:t xml:space="preserve">Treatment history</w:t>
                  </w:r>
                </w:p>
              </w:tc>
              <w:tc>
                <w:tcPr/>
                <w:p>
                  <w:pPr>
                    <w:pStyle w:val="Compact"/>
                    <w:jc w:val="center"/>
                  </w:pPr>
                  <w:r>
                    <w:t xml:space="preserve">Prior systemic therapies</w:t>
                  </w:r>
                </w:p>
              </w:tc>
              <w:tc>
                <w:tcPr/>
                <w:p>
                  <w:pPr>
                    <w:pStyle w:val="Compact"/>
                    <w:jc w:val="center"/>
                  </w:pPr>
                  <w:r>
                    <w:t xml:space="preserve">Count</w:t>
                  </w:r>
                </w:p>
              </w:tc>
              <w:tc>
                <w:tcPr/>
                <w:p>
                  <w:pPr>
                    <w:pStyle w:val="Compact"/>
                    <w:jc w:val="center"/>
                  </w:pPr>
                  <w:r>
                    <w:t xml:space="preserve">Continuous</w:t>
                  </w:r>
                </w:p>
              </w:tc>
            </w:tr>
            <w:tr>
              <w:tc>
                <w:tcPr/>
                <w:p>
                  <w:pPr>
                    <w:pStyle w:val="Compact"/>
                    <w:jc w:val="center"/>
                  </w:pPr>
                  <w:r>
                    <w:t xml:space="preserve">Confounder</w:t>
                  </w:r>
                </w:p>
              </w:tc>
              <w:tc>
                <w:tcPr/>
                <w:p>
                  <w:pPr>
                    <w:pStyle w:val="Compact"/>
                    <w:jc w:val="center"/>
                  </w:pPr>
                  <w:r>
                    <w:t xml:space="preserve">Disease duration</w:t>
                  </w:r>
                </w:p>
              </w:tc>
              <w:tc>
                <w:tcPr/>
                <w:p>
                  <w:pPr>
                    <w:pStyle w:val="Compact"/>
                    <w:jc w:val="center"/>
                  </w:pPr>
                  <w:r>
                    <w:t xml:space="preserve">Years since AD diagnosis</w:t>
                  </w:r>
                </w:p>
              </w:tc>
              <w:tc>
                <w:tcPr/>
                <w:p>
                  <w:pPr>
                    <w:pStyle w:val="Compact"/>
                    <w:jc w:val="center"/>
                  </w:pPr>
                  <w:r>
                    <w:t xml:space="preserve">Years</w:t>
                  </w:r>
                </w:p>
              </w:tc>
              <w:tc>
                <w:tcPr/>
                <w:p>
                  <w:pPr>
                    <w:pStyle w:val="Compact"/>
                    <w:jc w:val="center"/>
                  </w:pPr>
                  <w:r>
                    <w:t xml:space="preserve">Continuous</w:t>
                  </w:r>
                </w:p>
              </w:tc>
            </w:tr>
            <w:tr>
              <w:tc>
                <w:tcPr/>
                <w:p>
                  <w:pPr>
                    <w:pStyle w:val="Compact"/>
                    <w:jc w:val="center"/>
                  </w:pPr>
                  <w:r>
                    <w:t xml:space="preserve">Confounder</w:t>
                  </w:r>
                </w:p>
              </w:tc>
              <w:tc>
                <w:tcPr/>
                <w:p>
                  <w:pPr>
                    <w:pStyle w:val="Compact"/>
                    <w:jc w:val="center"/>
                  </w:pPr>
                  <w:r>
                    <w:t xml:space="preserve">Insurance status</w:t>
                  </w:r>
                </w:p>
              </w:tc>
              <w:tc>
                <w:tcPr/>
                <w:p>
                  <w:pPr>
                    <w:pStyle w:val="Compact"/>
                    <w:jc w:val="center"/>
                  </w:pPr>
                  <w:r>
                    <w:t xml:space="preserve">Private, Medicare/Medicaid, or other</w:t>
                  </w:r>
                </w:p>
              </w:tc>
              <w:tc>
                <w:tcPr/>
                <w:p>
                  <w:pPr>
                    <w:pStyle w:val="Compact"/>
                    <w:jc w:val="center"/>
                  </w:pPr>
                  <w:r>
                    <w:t xml:space="preserve">EHR records</w:t>
                  </w:r>
                </w:p>
              </w:tc>
              <w:tc>
                <w:tcPr/>
                <w:p>
                  <w:pPr>
                    <w:pStyle w:val="Compact"/>
                    <w:jc w:val="center"/>
                  </w:pPr>
                  <w:r>
                    <w:t xml:space="preserve">Categorical</w:t>
                  </w:r>
                </w:p>
              </w:tc>
            </w:tr>
            <w:tr>
              <w:tc>
                <w:tcPr/>
                <w:p>
                  <w:pPr>
                    <w:pStyle w:val="Compact"/>
                    <w:jc w:val="center"/>
                  </w:pPr>
                  <w:r>
                    <w:t xml:space="preserve">Confounder</w:t>
                  </w:r>
                </w:p>
              </w:tc>
              <w:tc>
                <w:tcPr/>
                <w:p>
                  <w:pPr>
                    <w:pStyle w:val="Compact"/>
                    <w:jc w:val="center"/>
                  </w:pPr>
                  <w:r>
                    <w:t xml:space="preserve">Depression/anxiety history</w:t>
                  </w:r>
                </w:p>
              </w:tc>
              <w:tc>
                <w:tcPr/>
                <w:p>
                  <w:pPr>
                    <w:pStyle w:val="Compact"/>
                    <w:jc w:val="center"/>
                  </w:pPr>
                  <w:r>
                    <w:t xml:space="preserve">Documented prior diagnosis</w:t>
                  </w:r>
                </w:p>
              </w:tc>
              <w:tc>
                <w:tcPr/>
                <w:p>
                  <w:pPr>
                    <w:pStyle w:val="Compact"/>
                    <w:jc w:val="center"/>
                  </w:pPr>
                  <w:r>
                    <w:t xml:space="preserve">ICD codes</w:t>
                  </w:r>
                </w:p>
              </w:tc>
              <w:tc>
                <w:tcPr/>
                <w:p>
                  <w:pPr>
                    <w:pStyle w:val="Compact"/>
                    <w:jc w:val="center"/>
                  </w:pPr>
                  <w:r>
                    <w:t xml:space="preserve">Categorical</w:t>
                  </w:r>
                </w:p>
              </w:tc>
            </w:tr>
          </w:tbl>
          <w:bookmarkEnd w:id="26"/>
          <w:p/>
        </w:tc>
      </w:tr>
    </w:tbl>
    <w:bookmarkEnd w:id="27"/>
    <w:bookmarkStart w:id="28" w:name="X7bbc9c78ec2304fdb66a8c041cd9b1e35a27839"/>
    <w:p>
      <w:pPr>
        <w:pStyle w:val="Heading3"/>
      </w:pPr>
      <w:r>
        <w:t xml:space="preserve">2.3.5 Mediating, moderating, and confounding relationships</w:t>
      </w:r>
    </w:p>
    <w:p>
      <w:pPr>
        <w:pStyle w:val="FirstParagraph"/>
      </w:pPr>
      <w:r>
        <w:t xml:space="preserve">These three variable roles are frequently conflated but require different analytic strategies. A mediator is caused by the exposure and carries some portion of its effect to the outcome. Disease activity (EASI score change), itch intensity, and sleep disturbance are the hypothesized mediators in this framework. These will not be adjusted for in the primary analysis because conditioning on a mediator blocks the causal pathway through which treatment produces its effect, biasing the estimate toward the null.</w:t>
      </w:r>
    </w:p>
    <w:p>
      <w:pPr>
        <w:pStyle w:val="BodyText"/>
      </w:pPr>
      <w:r>
        <w:t xml:space="preserve">A moderator changes the strength or direction of the treatment-outcome relationship and is sometimes called an effect modifier. Age, sex, and baseline disease severity are the hypothesized moderators, examined through prespecified interaction terms in Aim 3. A moderator does not need to be associated with the exposure. It only needs to change the exposure’s effect on the outcome.</w:t>
      </w:r>
    </w:p>
    <w:p>
      <w:pPr>
        <w:pStyle w:val="BodyText"/>
      </w:pPr>
      <w:r>
        <w:t xml:space="preserve">A confounder is associated with both treatment selection and outcomes but does not lie on the causal pathway. Confounders must be measured before exposure to avoid conditioning on post-treatment variables that could introduce bias. Insurance status, disease duration, treatment history, depression/anxiety history, and socioeconomic status are all confounders and will be included in the propensity score model.</w:t>
      </w:r>
    </w:p>
    <w:bookmarkEnd w:id="28"/>
    <w:bookmarkStart w:id="29" w:name="statistical-analysis-plan"/>
    <w:p>
      <w:pPr>
        <w:pStyle w:val="Heading3"/>
      </w:pPr>
      <w:r>
        <w:t xml:space="preserve">2.3.6 Statistical analysis plan</w:t>
      </w:r>
    </w:p>
    <w:p>
      <w:pPr>
        <w:pStyle w:val="FirstParagraph"/>
      </w:pPr>
      <w:r>
        <w:rPr>
          <w:b/>
          <w:bCs/>
        </w:rPr>
        <w:t xml:space="preserve">Propensity score estimation.</w:t>
      </w:r>
      <w:r>
        <w:t xml:space="preserve"> </w:t>
      </w:r>
      <w:r>
        <w:t xml:space="preserve">A propensity score is the probability that a patient received a particular treatment given their observed baseline characteristics. It compresses multiple confounders into a single score between zero and one and functions as a balancing score: patients with similar scores have, on average, similar distributions of observed covariates regardless of which treatment they received. Propensity scores will be estimated via logistic regression with treatment group as the dependent variable and the following baseline covariates as predictors: age, sex, race/ethnicity, baseline EASI score, number of prior systemic therapy failures, disease duration, insurance type, depression/anxiety history, and relevant comorbidities. Variable selection is based on subject matter knowledge of likely confounders. After weighting, covariate balance will be assessed using standardized mean differences (threshold: SMD &lt; 0.1) and propensity score overlap will be inspected visually to evaluate the positivity assumption, which requires a nonzero probability of receiving each treatment for every combination of covariates</w:t>
      </w:r>
      <w:r>
        <w:t xml:space="preserve"> </w:t>
      </w:r>
      <w:r>
        <w:t xml:space="preserve">(Austin 2011)</w:t>
      </w:r>
      <w:r>
        <w:t xml:space="preserve">.</w:t>
      </w:r>
    </w:p>
    <w:p>
      <w:pPr>
        <w:pStyle w:val="BodyText"/>
      </w:pPr>
      <w:r>
        <w:rPr>
          <w:b/>
          <w:bCs/>
        </w:rPr>
        <w:t xml:space="preserve">Primary analysis.</w:t>
      </w:r>
      <w:r>
        <w:t xml:space="preserve"> </w:t>
      </w:r>
      <w:r>
        <w:t xml:space="preserve">The average treatment effect on the treated (ATT) will be estimated using IPTW in weighted linear regression models. IPTW creates a pseudo-population in which measured covariates are balanced across treatment groups, approximating what randomization would achieve. Primary outcomes are 12-month change scores for DLQI and PHQ-9. Point estimates will be reported with 95% confidence intervals, and clinical significance will be evaluated against established MCIDs (DLQI: 4 points; PHQ-9: 5 points), focusing on whether confidence intervals exclude these thresholds and what effect sizes remain compatible with the data. Hypothesis testing at alpha = 0.05 will be reported, though a point estimate paired with its confidence interval is more informative for guiding treatment decisions than a binary significance label.</w:t>
      </w:r>
    </w:p>
    <w:p>
      <w:pPr>
        <w:pStyle w:val="BodyText"/>
      </w:pPr>
      <w:r>
        <w:rPr>
          <w:b/>
          <w:bCs/>
        </w:rPr>
        <w:t xml:space="preserve">Effect modification analysis (Aim 3).</w:t>
      </w:r>
      <w:r>
        <w:t xml:space="preserve"> </w:t>
      </w:r>
      <w:r>
        <w:t xml:space="preserve">Prespecified interaction terms for age, sex, and race will be included in regression models. Effect modification is established through the interaction test itself, not by comparing significance labels across subgroups. Stratum-specific effect sizes and confidence intervals will be reported to characterize the pattern of heterogeneity. Insurance status and socioeconomic factors will be examined as exploratory moderators.</w:t>
      </w:r>
    </w:p>
    <w:p>
      <w:pPr>
        <w:pStyle w:val="BodyText"/>
      </w:pPr>
      <w:r>
        <w:rPr>
          <w:b/>
          <w:bCs/>
        </w:rPr>
        <w:t xml:space="preserve">Missing data.</w:t>
      </w:r>
      <w:r>
        <w:t xml:space="preserve"> </w:t>
      </w:r>
      <w:r>
        <w:t xml:space="preserve">Missing data will be handled using multiple imputation by chained equations (MICE), under the assumption that data are missing at random conditional on observed covariates</w:t>
      </w:r>
      <w:r>
        <w:t xml:space="preserve"> </w:t>
      </w:r>
      <w:r>
        <w:t xml:space="preserve">(White et al. 2011)</w:t>
      </w:r>
      <w:r>
        <w:t xml:space="preserve">. Because EHR data often exhibit missingness that is not completely at random, sensitivity analyses will compare imputed results to complete-case analyses. Substantial divergence between approaches will prompt more cautious interpretation.</w:t>
      </w:r>
    </w:p>
    <w:p>
      <w:pPr>
        <w:pStyle w:val="BodyText"/>
      </w:pPr>
      <w:r>
        <w:rPr>
          <w:b/>
          <w:bCs/>
        </w:rPr>
        <w:t xml:space="preserve">Sensitivity and robustness analyses.</w:t>
      </w:r>
      <w:r>
        <w:t xml:space="preserve"> </w:t>
      </w:r>
      <w:r>
        <w:t xml:space="preserve">Three robustness checks are planned: (1) propensity score matching (1:1 nearest-neighbor with caliper of 0.2 standard deviations of the logit of the propensity score) as an alternative to weighting; (2) doubly robust estimation combining IPTW with outcome regression, which remains consistent as long as at least one of the two models is correctly specified; and (3) E-value calculations to quantify the minimum strength of association that an unmeasured confounder would need to have with both treatment and outcome to explain away observed effects</w:t>
      </w:r>
      <w:r>
        <w:t xml:space="preserve"> </w:t>
      </w:r>
      <w:r>
        <w:t xml:space="preserve">(VanderWeele and Ding 2017)</w:t>
      </w:r>
      <w:r>
        <w:t xml:space="preserve">. The three assumptions underlying causal inference (exchangeability, positivity, and consistency) will be explicitly evaluated and discussed.</w:t>
      </w:r>
    </w:p>
    <w:bookmarkEnd w:id="29"/>
    <w:bookmarkStart w:id="30" w:name="influence-of-age-sex-and-race"/>
    <w:p>
      <w:pPr>
        <w:pStyle w:val="Heading3"/>
      </w:pPr>
      <w:r>
        <w:t xml:space="preserve">2.3.7 Influence of age, sex, and race</w:t>
      </w:r>
    </w:p>
    <w:p>
      <w:pPr>
        <w:pStyle w:val="FirstParagraph"/>
      </w:pPr>
      <w:r>
        <w:t xml:space="preserve">Demographic characteristics are likely to shape both treatment patterns and outcomes. Older versus younger adults may have different baseline quality of life and depressive symptom profiles, and age-related variation in insurance coverage and formulary restrictions may affect the probability of receiving dupilumab. Sex differences may emerge in how patients perceive and report quality of life and mood symptoms over follow-up. Race may relate to disparities in treatment access, with differences in insurance coverage, referral patterns, and prior authorization requirements creating selection effects in who receives biologic versus conventional therapy</w:t>
      </w:r>
      <w:r>
        <w:t xml:space="preserve"> </w:t>
      </w:r>
      <w:r>
        <w:t xml:space="preserve">(Tackett et al. 2020)</w:t>
      </w:r>
      <w:r>
        <w:t xml:space="preserve">. All three variables will enter the propensity score model as covariates, and interaction analyses (Aim 3) will evaluate whether treatment effects differ across demographic subgroups. Stratum-specific results will be interpreted through effect sizes and confidence intervals rather than significance labels alone.</w:t>
      </w:r>
    </w:p>
    <w:bookmarkEnd w:id="30"/>
    <w:bookmarkStart w:id="32" w:name="potential-challenges-and-solutions"/>
    <w:p>
      <w:pPr>
        <w:pStyle w:val="Heading3"/>
      </w:pPr>
      <w:r>
        <w:t xml:space="preserve">2.3.8 Potential challenges and solutions</w:t>
      </w:r>
    </w:p>
    <w:tbl>
      <w:tblPr>
        <w:tblStyle w:val="Table"/>
        <w:tblW w:type="pct" w:w="5000"/>
        <w:tblLayout w:type="fixed"/>
        <w:tblLook w:firstRow="0" w:lastRow="0" w:firstColumn="0" w:lastColumn="0" w:noHBand="0" w:noVBand="0" w:val="0000"/>
      </w:tblPr>
      <w:tblGrid>
        <w:gridCol w:w="7920"/>
      </w:tblGrid>
      <w:tr>
        <w:tc>
          <w:tcPr/>
          <w:bookmarkStart w:id="31" w:name="tbl-challenges"/>
          <w:p>
            <w:pPr>
              <w:jc w:val="center"/>
            </w:pPr>
            <w:pPr>
              <w:jc w:val="left"/>
              <w:spacing w:before="200"/>
              <w:pStyle w:val="ImageCaption"/>
            </w:pPr>
            <w:r>
              <w:t xml:space="preserve">Table 2: Potential challenges and proposed solutions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jc w:val="center"/>
                  </w:pPr>
                  <w:r>
                    <w:t xml:space="preserve">Challenge</w:t>
                  </w:r>
                </w:p>
              </w:tc>
              <w:tc>
                <w:tcPr/>
                <w:p>
                  <w:pPr>
                    <w:pStyle w:val="Compact"/>
                    <w:jc w:val="center"/>
                  </w:pPr>
                  <w:r>
                    <w:t xml:space="preserve">Proposed Solution</w:t>
                  </w:r>
                </w:p>
              </w:tc>
            </w:tr>
            <w:tr>
              <w:tc>
                <w:tcPr/>
                <w:p>
                  <w:pPr>
                    <w:pStyle w:val="Compact"/>
                    <w:jc w:val="center"/>
                  </w:pPr>
                  <w:r>
                    <w:t xml:space="preserve">Confounding by indication: dupilumab patients have more severe, refractory disease</w:t>
                  </w:r>
                </w:p>
              </w:tc>
              <w:tc>
                <w:tcPr/>
                <w:p>
                  <w:pPr>
                    <w:pStyle w:val="Compact"/>
                    <w:jc w:val="center"/>
                  </w:pPr>
                  <w:r>
                    <w:t xml:space="preserve">IPTW with thorough covariate balance assessment (SMD &lt; 0.1); doubly robust estimation as sensitivity analysis; E-value calculations for unmeasured confounding</w:t>
                  </w:r>
                </w:p>
              </w:tc>
            </w:tr>
            <w:tr>
              <w:tc>
                <w:tcPr/>
                <w:p>
                  <w:pPr>
                    <w:pStyle w:val="Compact"/>
                    <w:jc w:val="center"/>
                  </w:pPr>
                  <w:r>
                    <w:t xml:space="preserve">Missing PRO data from incomplete follow-up or inconsistent EHR documentation</w:t>
                  </w:r>
                </w:p>
              </w:tc>
              <w:tc>
                <w:tcPr/>
                <w:p>
                  <w:pPr>
                    <w:pStyle w:val="Compact"/>
                    <w:jc w:val="center"/>
                  </w:pPr>
                  <w:r>
                    <w:t xml:space="preserve">Multiple imputation by chained equations with sensitivity analyses comparing complete-case results; evaluation of whether missingness patterns relate to patient characteristics or outcome risk</w:t>
                  </w:r>
                </w:p>
              </w:tc>
            </w:tr>
            <w:tr>
              <w:tc>
                <w:tcPr/>
                <w:p>
                  <w:pPr>
                    <w:pStyle w:val="Compact"/>
                    <w:jc w:val="center"/>
                  </w:pPr>
                  <w:r>
                    <w:t xml:space="preserve">Selection bias from differential out-of-pocket costs affecting who receives dupilumab</w:t>
                  </w:r>
                </w:p>
              </w:tc>
              <w:tc>
                <w:tcPr/>
                <w:p>
                  <w:pPr>
                    <w:pStyle w:val="Compact"/>
                    <w:jc w:val="center"/>
                  </w:pPr>
                  <w:r>
                    <w:t xml:space="preserve">Include insurance status and socioeconomic indicators in propensity score model; assess residual imbalance post-weighting</w:t>
                  </w:r>
                </w:p>
              </w:tc>
            </w:tr>
            <w:tr>
              <w:tc>
                <w:tcPr/>
                <w:p>
                  <w:pPr>
                    <w:pStyle w:val="Compact"/>
                    <w:jc w:val="center"/>
                  </w:pPr>
                  <w:r>
                    <w:t xml:space="preserve">Treatment switching or discontinuation during follow-up</w:t>
                  </w:r>
                </w:p>
              </w:tc>
              <w:tc>
                <w:tcPr/>
                <w:p>
                  <w:pPr>
                    <w:pStyle w:val="Compact"/>
                    <w:jc w:val="center"/>
                  </w:pPr>
                  <w:r>
                    <w:t xml:space="preserve">Intention-to-treat analysis as primary approach; per-protocol analysis as sensitivity check with documented switching rates and reasons</w:t>
                  </w:r>
                </w:p>
              </w:tc>
            </w:tr>
            <w:tr>
              <w:tc>
                <w:tcPr/>
                <w:p>
                  <w:pPr>
                    <w:pStyle w:val="Compact"/>
                    <w:jc w:val="center"/>
                  </w:pPr>
                  <w:r>
                    <w:t xml:space="preserve">Insufficient sample size for subgroup analyses by race</w:t>
                  </w:r>
                </w:p>
              </w:tc>
              <w:tc>
                <w:tcPr/>
                <w:p>
                  <w:pPr>
                    <w:pStyle w:val="Compact"/>
                    <w:jc w:val="center"/>
                  </w:pPr>
                  <w:r>
                    <w:t xml:space="preserve">Report stratum-specific estimates with confidence intervals; acknowledge precision limitations transparently; avoid interpreting nonsignificance as absence of effect</w:t>
                  </w:r>
                </w:p>
              </w:tc>
            </w:tr>
          </w:tbl>
          <w:bookmarkEnd w:id="31"/>
          <w:p/>
        </w:tc>
      </w:tr>
    </w:tbl>
    <w:bookmarkEnd w:id="32"/>
    <w:bookmarkStart w:id="34" w:name="study-timeline"/>
    <w:p>
      <w:pPr>
        <w:pStyle w:val="Heading3"/>
      </w:pPr>
      <w:r>
        <w:t xml:space="preserve">2.3.9 Study timeline</w:t>
      </w:r>
    </w:p>
    <w:tbl>
      <w:tblPr>
        <w:tblStyle w:val="Table"/>
        <w:tblW w:type="pct" w:w="5000"/>
        <w:tblLayout w:type="fixed"/>
        <w:tblLook w:firstRow="0" w:lastRow="0" w:firstColumn="0" w:lastColumn="0" w:noHBand="0" w:noVBand="0" w:val="0000"/>
      </w:tblPr>
      <w:tblGrid>
        <w:gridCol w:w="7920"/>
      </w:tblGrid>
      <w:tr>
        <w:tc>
          <w:tcPr/>
          <w:bookmarkStart w:id="33" w:name="tbl-timeline"/>
          <w:p>
            <w:pPr>
              <w:jc w:val="center"/>
            </w:pPr>
            <w:pPr>
              <w:jc w:val="left"/>
              <w:spacing w:before="200"/>
              <w:pStyle w:val="ImageCaption"/>
            </w:pPr>
            <w:r>
              <w:t xml:space="preserve">Table 3: Study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Activity</w:t>
                  </w:r>
                </w:p>
              </w:tc>
              <w:tc>
                <w:tcPr/>
                <w:p>
                  <w:pPr>
                    <w:pStyle w:val="Compact"/>
                    <w:jc w:val="center"/>
                    <w:jc w:val="center"/>
                  </w:pPr>
                  <w:r>
                    <w:t xml:space="preserve">Year 1 Q1-Q2</w:t>
                  </w:r>
                </w:p>
              </w:tc>
              <w:tc>
                <w:tcPr/>
                <w:p>
                  <w:pPr>
                    <w:pStyle w:val="Compact"/>
                    <w:jc w:val="center"/>
                    <w:jc w:val="center"/>
                  </w:pPr>
                  <w:r>
                    <w:t xml:space="preserve">Year 1 Q3-Q4</w:t>
                  </w:r>
                </w:p>
              </w:tc>
              <w:tc>
                <w:tcPr/>
                <w:p>
                  <w:pPr>
                    <w:pStyle w:val="Compact"/>
                    <w:jc w:val="center"/>
                    <w:jc w:val="center"/>
                  </w:pPr>
                  <w:r>
                    <w:t xml:space="preserve">Year 2 Q1-Q2</w:t>
                  </w:r>
                </w:p>
              </w:tc>
              <w:tc>
                <w:tcPr/>
                <w:p>
                  <w:pPr>
                    <w:pStyle w:val="Compact"/>
                    <w:jc w:val="center"/>
                    <w:jc w:val="center"/>
                  </w:pPr>
                  <w:r>
                    <w:t xml:space="preserve">Year 2 Q3-Q4</w:t>
                  </w:r>
                </w:p>
              </w:tc>
            </w:tr>
            <w:tr>
              <w:tc>
                <w:tcPr/>
                <w:p>
                  <w:pPr>
                    <w:pStyle w:val="Compact"/>
                    <w:jc w:val="center"/>
                  </w:pPr>
                  <w:r>
                    <w:t xml:space="preserve">IRB approval and data access agreements</w:t>
                  </w:r>
                </w:p>
              </w:tc>
              <w:tc>
                <w:tcPr/>
                <w:p>
                  <w:pPr>
                    <w:pStyle w:val="Compact"/>
                    <w:jc w:val="center"/>
                    <w:jc w:val="center"/>
                  </w:pPr>
                  <w:r>
                    <w:t xml:space="preserve">✓</w:t>
                  </w:r>
                </w:p>
              </w:tc>
              <w:tc>
                <w:tcPr/>
                <w:p>
                  <w:pPr>
                    <w:pStyle w:val="Compact"/>
                  </w:pPr>
                </w:p>
              </w:tc>
              <w:tc>
                <w:tcPr/>
                <w:p>
                  <w:pPr>
                    <w:pStyle w:val="Compact"/>
                  </w:pPr>
                </w:p>
              </w:tc>
              <w:tc>
                <w:tcPr/>
                <w:p>
                  <w:pPr>
                    <w:pStyle w:val="Compact"/>
                  </w:pPr>
                </w:p>
              </w:tc>
            </w:tr>
            <w:tr>
              <w:tc>
                <w:tcPr/>
                <w:p>
                  <w:pPr>
                    <w:pStyle w:val="Compact"/>
                    <w:jc w:val="center"/>
                  </w:pPr>
                  <w:r>
                    <w:t xml:space="preserve">Cohort identification and data extraction</w:t>
                  </w:r>
                </w:p>
              </w:tc>
              <w:tc>
                <w:tcPr/>
                <w:p>
                  <w:pPr>
                    <w:pStyle w:val="Compact"/>
                    <w:jc w:val="center"/>
                    <w:jc w:val="center"/>
                  </w:pPr>
                  <w:r>
                    <w:t xml:space="preserve">✓</w:t>
                  </w:r>
                </w:p>
              </w:tc>
              <w:tc>
                <w:tcPr/>
                <w:p>
                  <w:pPr>
                    <w:pStyle w:val="Compact"/>
                    <w:jc w:val="center"/>
                    <w:jc w:val="center"/>
                  </w:pPr>
                  <w:r>
                    <w:t xml:space="preserve">✓</w:t>
                  </w:r>
                </w:p>
              </w:tc>
              <w:tc>
                <w:tcPr/>
                <w:p>
                  <w:pPr>
                    <w:pStyle w:val="Compact"/>
                  </w:pPr>
                </w:p>
              </w:tc>
              <w:tc>
                <w:tcPr/>
                <w:p>
                  <w:pPr>
                    <w:pStyle w:val="Compact"/>
                  </w:pPr>
                </w:p>
              </w:tc>
            </w:tr>
            <w:tr>
              <w:tc>
                <w:tcPr/>
                <w:p>
                  <w:pPr>
                    <w:pStyle w:val="Compact"/>
                    <w:jc w:val="center"/>
                  </w:pPr>
                  <w:r>
                    <w:t xml:space="preserve">Propensity score estimation and balance assessment</w:t>
                  </w:r>
                </w:p>
              </w:tc>
              <w:tc>
                <w:tcPr/>
                <w:p>
                  <w:pPr>
                    <w:pStyle w:val="Compact"/>
                  </w:pPr>
                </w:p>
              </w:tc>
              <w:tc>
                <w:tcPr/>
                <w:p>
                  <w:pPr>
                    <w:pStyle w:val="Compact"/>
                    <w:jc w:val="center"/>
                    <w:jc w:val="center"/>
                  </w:pPr>
                  <w:r>
                    <w:t xml:space="preserve">✓</w:t>
                  </w:r>
                </w:p>
              </w:tc>
              <w:tc>
                <w:tcPr/>
                <w:p>
                  <w:pPr>
                    <w:pStyle w:val="Compact"/>
                  </w:pPr>
                </w:p>
              </w:tc>
              <w:tc>
                <w:tcPr/>
                <w:p>
                  <w:pPr>
                    <w:pStyle w:val="Compact"/>
                  </w:pPr>
                </w:p>
              </w:tc>
            </w:tr>
            <w:tr>
              <w:tc>
                <w:tcPr/>
                <w:p>
                  <w:pPr>
                    <w:pStyle w:val="Compact"/>
                    <w:jc w:val="center"/>
                  </w:pPr>
                  <w:r>
                    <w:t xml:space="preserve">Primary analyses (Aims 1 and 2)</w:t>
                  </w:r>
                </w:p>
              </w:tc>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pPr>
                </w:p>
              </w:tc>
            </w:tr>
            <w:tr>
              <w:tc>
                <w:tcPr/>
                <w:p>
                  <w:pPr>
                    <w:pStyle w:val="Compact"/>
                    <w:jc w:val="center"/>
                  </w:pPr>
                  <w:r>
                    <w:t xml:space="preserve">Effect modification analyses (Aim 3)</w:t>
                  </w:r>
                </w:p>
              </w:tc>
              <w:tc>
                <w:tcPr/>
                <w:p>
                  <w:pPr>
                    <w:pStyle w:val="Compact"/>
                  </w:pPr>
                </w:p>
              </w:tc>
              <w:tc>
                <w:tcPr/>
                <w:p>
                  <w:pPr>
                    <w:pStyle w:val="Compact"/>
                  </w:pPr>
                </w:p>
              </w:tc>
              <w:tc>
                <w:tcPr/>
                <w:p>
                  <w:pPr>
                    <w:pStyle w:val="Compact"/>
                    <w:jc w:val="center"/>
                    <w:jc w:val="center"/>
                  </w:pPr>
                  <w:r>
                    <w:t xml:space="preserve">✓</w:t>
                  </w:r>
                </w:p>
              </w:tc>
              <w:tc>
                <w:tcPr/>
                <w:p>
                  <w:pPr>
                    <w:pStyle w:val="Compact"/>
                  </w:pPr>
                </w:p>
              </w:tc>
            </w:tr>
            <w:tr>
              <w:tc>
                <w:tcPr/>
                <w:p>
                  <w:pPr>
                    <w:pStyle w:val="Compact"/>
                    <w:jc w:val="center"/>
                  </w:pPr>
                  <w:r>
                    <w:t xml:space="preserve">Sensitivity analyses and robustness checks</w:t>
                  </w:r>
                </w:p>
              </w:tc>
              <w:tc>
                <w:tcPr/>
                <w:p>
                  <w:pPr>
                    <w:pStyle w:val="Compact"/>
                  </w:pPr>
                </w:p>
              </w:tc>
              <w:tc>
                <w:tcPr/>
                <w:p>
                  <w:pPr>
                    <w:pStyle w:val="Compact"/>
                  </w:pPr>
                </w:p>
              </w:tc>
              <w:tc>
                <w:tcPr/>
                <w:p>
                  <w:pPr>
                    <w:pStyle w:val="Compact"/>
                    <w:jc w:val="center"/>
                    <w:jc w:val="center"/>
                  </w:pPr>
                  <w:r>
                    <w:t xml:space="preserve">✓</w:t>
                  </w:r>
                </w:p>
              </w:tc>
              <w:tc>
                <w:tcPr/>
                <w:p>
                  <w:pPr>
                    <w:pStyle w:val="Compact"/>
                  </w:pPr>
                </w:p>
              </w:tc>
            </w:tr>
            <w:tr>
              <w:tc>
                <w:tcPr/>
                <w:p>
                  <w:pPr>
                    <w:pStyle w:val="Compact"/>
                    <w:jc w:val="center"/>
                  </w:pPr>
                  <w:r>
                    <w:t xml:space="preserve">Manuscript preparation and dissemination</w:t>
                  </w:r>
                </w:p>
              </w:tc>
              <w:tc>
                <w:tcPr/>
                <w:p>
                  <w:pPr>
                    <w:pStyle w:val="Compact"/>
                  </w:pPr>
                </w:p>
              </w:tc>
              <w:tc>
                <w:tcPr/>
                <w:p>
                  <w:pPr>
                    <w:pStyle w:val="Compact"/>
                  </w:pPr>
                </w:p>
              </w:tc>
              <w:tc>
                <w:tcPr/>
                <w:p>
                  <w:pPr>
                    <w:pStyle w:val="Compact"/>
                    <w:jc w:val="center"/>
                    <w:jc w:val="center"/>
                  </w:pPr>
                  <w:r>
                    <w:t xml:space="preserve">✓</w:t>
                  </w:r>
                </w:p>
              </w:tc>
              <w:tc>
                <w:tcPr/>
                <w:p>
                  <w:pPr>
                    <w:pStyle w:val="Compact"/>
                    <w:jc w:val="center"/>
                    <w:jc w:val="center"/>
                  </w:pPr>
                  <w:r>
                    <w:t xml:space="preserve">✓</w:t>
                  </w:r>
                </w:p>
              </w:tc>
            </w:tr>
          </w:tbl>
          <w:bookmarkEnd w:id="33"/>
          <w:p/>
        </w:tc>
      </w:tr>
    </w:tbl>
    <w:p>
      <w:r>
        <w:br w:type="page"/>
      </w:r>
    </w:p>
    <w:bookmarkEnd w:id="34"/>
    <w:bookmarkEnd w:id="35"/>
    <w:bookmarkEnd w:id="36"/>
    <w:bookmarkStart w:id="70" w:name="references"/>
    <w:p>
      <w:pPr>
        <w:pStyle w:val="Heading1"/>
      </w:pPr>
      <w:r>
        <w:t xml:space="preserve">3. References</w:t>
      </w:r>
    </w:p>
    <w:bookmarkStart w:id="69" w:name="refs"/>
    <w:bookmarkStart w:id="38" w:name="ref-afshari_unraveling_2024"/>
    <w:p>
      <w:pPr>
        <w:pStyle w:val="Bibliography"/>
      </w:pPr>
      <w:r>
        <w:t xml:space="preserve">Afshari, Moeina, Martina Kolackova, Michaela Rosecka, Jarmila Čelakovská, and Jan Krejsek. 2024.</w:t>
      </w:r>
      <w:r>
        <w:t xml:space="preserve"> </w:t>
      </w:r>
      <w:r>
        <w:t xml:space="preserve">“Unraveling the Skin; a Comprehensive Review of Atopic Dermatitis, Current Understanding, and Approaches.”</w:t>
      </w:r>
      <w:r>
        <w:t xml:space="preserve"> </w:t>
      </w:r>
      <w:r>
        <w:rPr>
          <w:i/>
          <w:iCs/>
        </w:rPr>
        <w:t xml:space="preserve">Front Immunol</w:t>
      </w:r>
      <w:r>
        <w:t xml:space="preserve"> </w:t>
      </w:r>
      <w:r>
        <w:t xml:space="preserve">15: 1361005.</w:t>
      </w:r>
      <w:r>
        <w:t xml:space="preserve"> </w:t>
      </w:r>
      <w:hyperlink r:id="rId37">
        <w:r>
          <w:rPr>
            <w:rStyle w:val="Hyperlink"/>
          </w:rPr>
          <w:t xml:space="preserve">https://doi.org/10.3389/fimmu.2024.1361005</w:t>
        </w:r>
      </w:hyperlink>
      <w:r>
        <w:t xml:space="preserve">.</w:t>
      </w:r>
    </w:p>
    <w:bookmarkEnd w:id="38"/>
    <w:bookmarkStart w:id="40" w:name="ref-austin_introduction_2011"/>
    <w:p>
      <w:pPr>
        <w:pStyle w:val="Bibliography"/>
      </w:pPr>
      <w:r>
        <w:t xml:space="preserve">Austin, Peter C. 2011.</w:t>
      </w:r>
      <w:r>
        <w:t xml:space="preserve"> </w:t>
      </w:r>
      <w:r>
        <w:t xml:space="preserve">“An</w:t>
      </w:r>
      <w:r>
        <w:t xml:space="preserve"> </w:t>
      </w:r>
      <w:r>
        <w:t xml:space="preserve">Introduction</w:t>
      </w:r>
      <w:r>
        <w:t xml:space="preserve"> </w:t>
      </w:r>
      <w:r>
        <w:t xml:space="preserve">to</w:t>
      </w:r>
      <w:r>
        <w:t xml:space="preserve"> </w:t>
      </w:r>
      <w:r>
        <w:t xml:space="preserve">Propensity</w:t>
      </w:r>
      <w:r>
        <w:t xml:space="preserve"> </w:t>
      </w:r>
      <w:r>
        <w:t xml:space="preserve">Score</w:t>
      </w:r>
      <w:r>
        <w:t xml:space="preserve"> </w:t>
      </w:r>
      <w:r>
        <w:t xml:space="preserve">Methods</w:t>
      </w:r>
      <w:r>
        <w:t xml:space="preserve"> </w:t>
      </w:r>
      <w:r>
        <w:t xml:space="preserve">for</w:t>
      </w:r>
      <w:r>
        <w:t xml:space="preserve"> </w:t>
      </w:r>
      <w:r>
        <w:t xml:space="preserve">Reducing</w:t>
      </w:r>
      <w:r>
        <w:t xml:space="preserve"> </w:t>
      </w:r>
      <w:r>
        <w:t xml:space="preserve">the</w:t>
      </w:r>
      <w:r>
        <w:t xml:space="preserve"> </w:t>
      </w:r>
      <w:r>
        <w:t xml:space="preserve">Effects</w:t>
      </w:r>
      <w:r>
        <w:t xml:space="preserve"> </w:t>
      </w:r>
      <w:r>
        <w:t xml:space="preserve">of</w:t>
      </w:r>
      <w:r>
        <w:t xml:space="preserve"> </w:t>
      </w:r>
      <w:r>
        <w:t xml:space="preserve">Confounding</w:t>
      </w:r>
      <w:r>
        <w:t xml:space="preserve"> </w:t>
      </w:r>
      <w:r>
        <w:t xml:space="preserve">in</w:t>
      </w:r>
      <w:r>
        <w:t xml:space="preserve"> </w:t>
      </w:r>
      <w:r>
        <w:t xml:space="preserve">Observational</w:t>
      </w:r>
      <w:r>
        <w:t xml:space="preserve"> </w:t>
      </w:r>
      <w:r>
        <w:t xml:space="preserve">Studies</w:t>
      </w:r>
      <w:r>
        <w:t xml:space="preserve">.”</w:t>
      </w:r>
      <w:r>
        <w:t xml:space="preserve"> </w:t>
      </w:r>
      <w:r>
        <w:rPr>
          <w:i/>
          <w:iCs/>
        </w:rPr>
        <w:t xml:space="preserve">Multivariate Behav Res</w:t>
      </w:r>
      <w:r>
        <w:t xml:space="preserve"> </w:t>
      </w:r>
      <w:r>
        <w:t xml:space="preserve">46 (3): 399–424.</w:t>
      </w:r>
      <w:r>
        <w:t xml:space="preserve"> </w:t>
      </w:r>
      <w:hyperlink r:id="rId39">
        <w:r>
          <w:rPr>
            <w:rStyle w:val="Hyperlink"/>
          </w:rPr>
          <w:t xml:space="preserve">https://doi.org/10.1080/00273171.2011.568786</w:t>
        </w:r>
      </w:hyperlink>
      <w:r>
        <w:t xml:space="preserve">.</w:t>
      </w:r>
    </w:p>
    <w:bookmarkEnd w:id="40"/>
    <w:bookmarkStart w:id="42" w:name="ref-basra_determining_2015"/>
    <w:p>
      <w:pPr>
        <w:pStyle w:val="Bibliography"/>
      </w:pPr>
      <w:r>
        <w:t xml:space="preserve">Basra, M. K. A., M. S. Salek, L. Camilleri, R. Sturkey, and A. Y. Finlay. 2015.</w:t>
      </w:r>
      <w:r>
        <w:t xml:space="preserve"> </w:t>
      </w:r>
      <w:r>
        <w:t xml:space="preserve">“Determining the Minimal Clinically Important Difference and Responsiveness of the</w:t>
      </w:r>
      <w:r>
        <w:t xml:space="preserve"> </w:t>
      </w:r>
      <w:r>
        <w:t xml:space="preserve">Dermatology</w:t>
      </w:r>
      <w:r>
        <w:t xml:space="preserve"> </w:t>
      </w:r>
      <w:r>
        <w:t xml:space="preserve">Life</w:t>
      </w:r>
      <w:r>
        <w:t xml:space="preserve"> </w:t>
      </w:r>
      <w:r>
        <w:t xml:space="preserve">Quality</w:t>
      </w:r>
      <w:r>
        <w:t xml:space="preserve"> </w:t>
      </w:r>
      <w:r>
        <w:t xml:space="preserve">Index</w:t>
      </w:r>
      <w:r>
        <w:t xml:space="preserve"> </w:t>
      </w:r>
      <w:r>
        <w:t xml:space="preserve">(</w:t>
      </w:r>
      <w:r>
        <w:t xml:space="preserve">DLQI</w:t>
      </w:r>
      <w:r>
        <w:t xml:space="preserve">): Further Data.”</w:t>
      </w:r>
      <w:r>
        <w:t xml:space="preserve"> </w:t>
      </w:r>
      <w:r>
        <w:rPr>
          <w:i/>
          <w:iCs/>
        </w:rPr>
        <w:t xml:space="preserve">Dermatology</w:t>
      </w:r>
      <w:r>
        <w:t xml:space="preserve"> </w:t>
      </w:r>
      <w:r>
        <w:t xml:space="preserve">230 (1): 27–33.</w:t>
      </w:r>
      <w:r>
        <w:t xml:space="preserve"> </w:t>
      </w:r>
      <w:hyperlink r:id="rId41">
        <w:r>
          <w:rPr>
            <w:rStyle w:val="Hyperlink"/>
          </w:rPr>
          <w:t xml:space="preserve">https://doi.org/10.1159/000365390</w:t>
        </w:r>
      </w:hyperlink>
      <w:r>
        <w:t xml:space="preserve">.</w:t>
      </w:r>
    </w:p>
    <w:bookmarkEnd w:id="42"/>
    <w:bookmarkStart w:id="44" w:name="ref-chopra_assessing_2018"/>
    <w:p>
      <w:pPr>
        <w:pStyle w:val="Bibliography"/>
      </w:pPr>
      <w:r>
        <w:t xml:space="preserve">Chopra, Rishi, and Jonathan I. Silverberg. 2018.</w:t>
      </w:r>
      <w:r>
        <w:t xml:space="preserve"> </w:t>
      </w:r>
      <w:r>
        <w:t xml:space="preserve">“Assessing the Severity of Atopic Dermatitis in Clinical Trials and Practice.”</w:t>
      </w:r>
      <w:r>
        <w:t xml:space="preserve"> </w:t>
      </w:r>
      <w:r>
        <w:rPr>
          <w:i/>
          <w:iCs/>
        </w:rPr>
        <w:t xml:space="preserve">Clin Dermatol</w:t>
      </w:r>
      <w:r>
        <w:t xml:space="preserve"> </w:t>
      </w:r>
      <w:r>
        <w:t xml:space="preserve">36 (5): 606–15.</w:t>
      </w:r>
      <w:r>
        <w:t xml:space="preserve"> </w:t>
      </w:r>
      <w:hyperlink r:id="rId43">
        <w:r>
          <w:rPr>
            <w:rStyle w:val="Hyperlink"/>
          </w:rPr>
          <w:t xml:space="preserve">https://doi.org/10.1016/j.clindermatol.2018.05.012</w:t>
        </w:r>
      </w:hyperlink>
      <w:r>
        <w:t xml:space="preserve">.</w:t>
      </w:r>
    </w:p>
    <w:bookmarkEnd w:id="44"/>
    <w:bookmarkStart w:id="46" w:name="ref-drucker_burden_2017"/>
    <w:p>
      <w:pPr>
        <w:pStyle w:val="Bibliography"/>
      </w:pPr>
      <w:r>
        <w:t xml:space="preserve">Drucker, Aaron M., Annie R. Wang, Wen-Qing Li, Erika Sevetson, Julie K. Block, and Abrar A. Qureshi. 2017.</w:t>
      </w:r>
      <w:r>
        <w:t xml:space="preserve"> </w:t>
      </w:r>
      <w:r>
        <w:t xml:space="preserve">“The</w:t>
      </w:r>
      <w:r>
        <w:t xml:space="preserve"> </w:t>
      </w:r>
      <w:r>
        <w:t xml:space="preserve">Burden</w:t>
      </w:r>
      <w:r>
        <w:t xml:space="preserve"> </w:t>
      </w:r>
      <w:r>
        <w:t xml:space="preserve">of</w:t>
      </w:r>
      <w:r>
        <w:t xml:space="preserve"> </w:t>
      </w:r>
      <w:r>
        <w:t xml:space="preserve">Atopic</w:t>
      </w:r>
      <w:r>
        <w:t xml:space="preserve"> </w:t>
      </w:r>
      <w:r>
        <w:t xml:space="preserve">Dermatitis</w:t>
      </w:r>
      <w:r>
        <w:t xml:space="preserve">:</w:t>
      </w:r>
      <w:r>
        <w:t xml:space="preserve"> </w:t>
      </w:r>
      <w:r>
        <w:t xml:space="preserve">Summary</w:t>
      </w:r>
      <w:r>
        <w:t xml:space="preserve"> </w:t>
      </w:r>
      <w:r>
        <w:t xml:space="preserve">of a</w:t>
      </w:r>
      <w:r>
        <w:t xml:space="preserve"> </w:t>
      </w:r>
      <w:r>
        <w:t xml:space="preserve">Report</w:t>
      </w:r>
      <w:r>
        <w:t xml:space="preserve"> </w:t>
      </w:r>
      <w:r>
        <w:t xml:space="preserve">for the</w:t>
      </w:r>
      <w:r>
        <w:t xml:space="preserve"> </w:t>
      </w:r>
      <w:r>
        <w:t xml:space="preserve">National</w:t>
      </w:r>
      <w:r>
        <w:t xml:space="preserve"> </w:t>
      </w:r>
      <w:r>
        <w:t xml:space="preserve">Eczema</w:t>
      </w:r>
      <w:r>
        <w:t xml:space="preserve"> </w:t>
      </w:r>
      <w:r>
        <w:t xml:space="preserve">Association</w:t>
      </w:r>
      <w:r>
        <w:t xml:space="preserve">.”</w:t>
      </w:r>
      <w:r>
        <w:t xml:space="preserve"> </w:t>
      </w:r>
      <w:r>
        <w:rPr>
          <w:i/>
          <w:iCs/>
        </w:rPr>
        <w:t xml:space="preserve">J Invest Dermatol</w:t>
      </w:r>
      <w:r>
        <w:t xml:space="preserve"> </w:t>
      </w:r>
      <w:r>
        <w:t xml:space="preserve">137 (1): 26–30.</w:t>
      </w:r>
      <w:r>
        <w:t xml:space="preserve"> </w:t>
      </w:r>
      <w:hyperlink r:id="rId45">
        <w:r>
          <w:rPr>
            <w:rStyle w:val="Hyperlink"/>
          </w:rPr>
          <w:t xml:space="preserve">https://doi.org/10.1016/j.jid.2016.07.012</w:t>
        </w:r>
      </w:hyperlink>
      <w:r>
        <w:t xml:space="preserve">.</w:t>
      </w:r>
    </w:p>
    <w:bookmarkEnd w:id="46"/>
    <w:bookmarkStart w:id="48" w:name="ref-eckert_impact_2017"/>
    <w:p>
      <w:pPr>
        <w:pStyle w:val="Bibliography"/>
      </w:pPr>
      <w:r>
        <w:t xml:space="preserve">Eckert, Laurent, Shaloo Gupta, Caroline Amand, Abhijit Gadkari, Puneet Mahajan, and Joel M. Gelfand. 2017.</w:t>
      </w:r>
      <w:r>
        <w:t xml:space="preserve"> </w:t>
      </w:r>
      <w:r>
        <w:t xml:space="preserve">“Impact of Atopic Dermatitis on Health-Related Quality of Life and Productivity in Adults in the</w:t>
      </w:r>
      <w:r>
        <w:t xml:space="preserve"> </w:t>
      </w:r>
      <w:r>
        <w:t xml:space="preserve">United</w:t>
      </w:r>
      <w:r>
        <w:t xml:space="preserve"> </w:t>
      </w:r>
      <w:r>
        <w:t xml:space="preserve">States</w:t>
      </w:r>
      <w:r>
        <w:t xml:space="preserve">:</w:t>
      </w:r>
      <w:r>
        <w:t xml:space="preserve"> </w:t>
      </w:r>
      <w:r>
        <w:t xml:space="preserve">An</w:t>
      </w:r>
      <w:r>
        <w:t xml:space="preserve"> </w:t>
      </w:r>
      <w:r>
        <w:t xml:space="preserve">Analysis Using the</w:t>
      </w:r>
      <w:r>
        <w:t xml:space="preserve"> </w:t>
      </w:r>
      <w:r>
        <w:t xml:space="preserve">National</w:t>
      </w:r>
      <w:r>
        <w:t xml:space="preserve"> </w:t>
      </w:r>
      <w:r>
        <w:t xml:space="preserve">Health</w:t>
      </w:r>
      <w:r>
        <w:t xml:space="preserve"> </w:t>
      </w:r>
      <w:r>
        <w:t xml:space="preserve">and</w:t>
      </w:r>
      <w:r>
        <w:t xml:space="preserve"> </w:t>
      </w:r>
      <w:r>
        <w:t xml:space="preserve">Wellness</w:t>
      </w:r>
      <w:r>
        <w:t xml:space="preserve"> </w:t>
      </w:r>
      <w:r>
        <w:t xml:space="preserve">Survey</w:t>
      </w:r>
      <w:r>
        <w:t xml:space="preserve">.”</w:t>
      </w:r>
      <w:r>
        <w:t xml:space="preserve"> </w:t>
      </w:r>
      <w:r>
        <w:rPr>
          <w:i/>
          <w:iCs/>
        </w:rPr>
        <w:t xml:space="preserve">J Am Acad Dermatol</w:t>
      </w:r>
      <w:r>
        <w:t xml:space="preserve"> </w:t>
      </w:r>
      <w:r>
        <w:t xml:space="preserve">77 (2): 274–279.e3.</w:t>
      </w:r>
      <w:r>
        <w:t xml:space="preserve"> </w:t>
      </w:r>
      <w:hyperlink r:id="rId47">
        <w:r>
          <w:rPr>
            <w:rStyle w:val="Hyperlink"/>
          </w:rPr>
          <w:t xml:space="preserve">https://doi.org/10.1016/j.jaad.2017.04.019</w:t>
        </w:r>
      </w:hyperlink>
      <w:r>
        <w:t xml:space="preserve">.</w:t>
      </w:r>
    </w:p>
    <w:bookmarkEnd w:id="48"/>
    <w:bookmarkStart w:id="50" w:name="ref-eichenfield_guidelines_2014"/>
    <w:p>
      <w:pPr>
        <w:pStyle w:val="Bibliography"/>
      </w:pPr>
      <w:r>
        <w:t xml:space="preserve">Eichenfield, Lawrence F., Wynnis L. Tom, Timothy G. Berger, et al. 2014.</w:t>
      </w:r>
      <w:r>
        <w:t xml:space="preserve"> </w:t>
      </w:r>
      <w:r>
        <w:t xml:space="preserve">“Guidelines of Care for the Management of Atopic Dermatitis: Section 2.</w:t>
      </w:r>
      <w:r>
        <w:t xml:space="preserve"> </w:t>
      </w:r>
      <w:r>
        <w:t xml:space="preserve">Management</w:t>
      </w:r>
      <w:r>
        <w:t xml:space="preserve"> </w:t>
      </w:r>
      <w:r>
        <w:t xml:space="preserve">and Treatment of Atopic Dermatitis with Topical Therapies.”</w:t>
      </w:r>
      <w:r>
        <w:t xml:space="preserve"> </w:t>
      </w:r>
      <w:r>
        <w:rPr>
          <w:i/>
          <w:iCs/>
        </w:rPr>
        <w:t xml:space="preserve">J Am Acad Dermatol</w:t>
      </w:r>
      <w:r>
        <w:t xml:space="preserve"> </w:t>
      </w:r>
      <w:r>
        <w:t xml:space="preserve">71 (1): 116–32.</w:t>
      </w:r>
      <w:r>
        <w:t xml:space="preserve"> </w:t>
      </w:r>
      <w:hyperlink r:id="rId49">
        <w:r>
          <w:rPr>
            <w:rStyle w:val="Hyperlink"/>
          </w:rPr>
          <w:t xml:space="preserve">https://doi.org/10.1016/j.jaad.2014.03.023</w:t>
        </w:r>
      </w:hyperlink>
      <w:r>
        <w:t xml:space="preserve">.</w:t>
      </w:r>
    </w:p>
    <w:bookmarkEnd w:id="50"/>
    <w:bookmarkStart w:id="52" w:name="ref-finlay_dermatology_1994"/>
    <w:p>
      <w:pPr>
        <w:pStyle w:val="Bibliography"/>
      </w:pPr>
      <w:r>
        <w:t xml:space="preserve">Finlay, A. Y., and G. K. Khan. 1994.</w:t>
      </w:r>
      <w:r>
        <w:t xml:space="preserve"> </w:t>
      </w:r>
      <w:r>
        <w:t xml:space="preserve">“Dermatology</w:t>
      </w:r>
      <w:r>
        <w:t xml:space="preserve"> </w:t>
      </w:r>
      <w:r>
        <w:t xml:space="preserve">Life</w:t>
      </w:r>
      <w:r>
        <w:t xml:space="preserve"> </w:t>
      </w:r>
      <w:r>
        <w:t xml:space="preserve">Quality</w:t>
      </w:r>
      <w:r>
        <w:t xml:space="preserve"> </w:t>
      </w:r>
      <w:r>
        <w:t xml:space="preserve">Index</w:t>
      </w:r>
      <w:r>
        <w:t xml:space="preserve"> </w:t>
      </w:r>
      <w:r>
        <w:t xml:space="preserve">(</w:t>
      </w:r>
      <w:r>
        <w:t xml:space="preserve">DLQI</w:t>
      </w:r>
      <w:r>
        <w:t xml:space="preserve">)–a Simple Practical Measure for Routine Clinical Use.”</w:t>
      </w:r>
      <w:r>
        <w:t xml:space="preserve"> </w:t>
      </w:r>
      <w:r>
        <w:rPr>
          <w:i/>
          <w:iCs/>
        </w:rPr>
        <w:t xml:space="preserve">Clin Exp Dermatol</w:t>
      </w:r>
      <w:r>
        <w:t xml:space="preserve"> </w:t>
      </w:r>
      <w:r>
        <w:t xml:space="preserve">19 (3): 210–16.</w:t>
      </w:r>
      <w:r>
        <w:t xml:space="preserve"> </w:t>
      </w:r>
      <w:hyperlink r:id="rId51">
        <w:r>
          <w:rPr>
            <w:rStyle w:val="Hyperlink"/>
          </w:rPr>
          <w:t xml:space="preserve">https://doi.org/10.1111/j.1365-2230.1994.tb01167.x</w:t>
        </w:r>
      </w:hyperlink>
      <w:r>
        <w:t xml:space="preserve">.</w:t>
      </w:r>
    </w:p>
    <w:bookmarkEnd w:id="52"/>
    <w:bookmarkStart w:id="54" w:name="ref-kroenke_phq-9_2001"/>
    <w:p>
      <w:pPr>
        <w:pStyle w:val="Bibliography"/>
      </w:pPr>
      <w:r>
        <w:t xml:space="preserve">Kroenke, Kurt, Robert L. Spitzer, and Janet B. W. Williams. 2001.</w:t>
      </w:r>
      <w:r>
        <w:t xml:space="preserve"> </w:t>
      </w:r>
      <w:r>
        <w:t xml:space="preserve">“The</w:t>
      </w:r>
      <w:r>
        <w:t xml:space="preserve"> </w:t>
      </w:r>
      <w:r>
        <w:t xml:space="preserve">PHQ</w:t>
      </w:r>
      <w:r>
        <w:t xml:space="preserve">-9.”</w:t>
      </w:r>
      <w:r>
        <w:t xml:space="preserve"> </w:t>
      </w:r>
      <w:r>
        <w:rPr>
          <w:i/>
          <w:iCs/>
        </w:rPr>
        <w:t xml:space="preserve">J GEN INTERN MED</w:t>
      </w:r>
      <w:r>
        <w:t xml:space="preserve"> </w:t>
      </w:r>
      <w:r>
        <w:t xml:space="preserve">16 (9): 606–13.</w:t>
      </w:r>
      <w:r>
        <w:t xml:space="preserve"> </w:t>
      </w:r>
      <w:hyperlink r:id="rId53">
        <w:r>
          <w:rPr>
            <w:rStyle w:val="Hyperlink"/>
          </w:rPr>
          <w:t xml:space="preserve">https://doi.org/10.1046/j.1525-1497.2001.016009606.x</w:t>
        </w:r>
      </w:hyperlink>
      <w:r>
        <w:t xml:space="preserve">.</w:t>
      </w:r>
    </w:p>
    <w:bookmarkEnd w:id="54"/>
    <w:bookmarkStart w:id="56" w:name="ref-silverberg_patient_2018"/>
    <w:p>
      <w:pPr>
        <w:pStyle w:val="Bibliography"/>
      </w:pPr>
      <w:r>
        <w:t xml:space="preserve">Silverberg, Jonathan I., Joel M. Gelfand, David J. Margolis, et al. 2018.</w:t>
      </w:r>
      <w:r>
        <w:t xml:space="preserve"> </w:t>
      </w:r>
      <w:r>
        <w:t xml:space="preserve">“Patient Burden and Quality of Life in Atopic Dermatitis in</w:t>
      </w:r>
      <w:r>
        <w:t xml:space="preserve"> </w:t>
      </w:r>
      <w:r>
        <w:t xml:space="preserve">US</w:t>
      </w:r>
      <w:r>
        <w:t xml:space="preserve"> </w:t>
      </w:r>
      <w:r>
        <w:t xml:space="preserve">Adults:</w:t>
      </w:r>
      <w:r>
        <w:t xml:space="preserve"> </w:t>
      </w:r>
      <w:r>
        <w:t xml:space="preserve">A</w:t>
      </w:r>
      <w:r>
        <w:t xml:space="preserve"> </w:t>
      </w:r>
      <w:r>
        <w:t xml:space="preserve">Population-Based Cross-Sectional Study.”</w:t>
      </w:r>
      <w:r>
        <w:t xml:space="preserve"> </w:t>
      </w:r>
      <w:r>
        <w:rPr>
          <w:i/>
          <w:iCs/>
        </w:rPr>
        <w:t xml:space="preserve">Ann Allergy Asthma Immunol</w:t>
      </w:r>
      <w:r>
        <w:t xml:space="preserve"> </w:t>
      </w:r>
      <w:r>
        <w:t xml:space="preserve">121 (3): 340–47.</w:t>
      </w:r>
      <w:r>
        <w:t xml:space="preserve"> </w:t>
      </w:r>
      <w:hyperlink r:id="rId55">
        <w:r>
          <w:rPr>
            <w:rStyle w:val="Hyperlink"/>
          </w:rPr>
          <w:t xml:space="preserve">https://doi.org/10.1016/j.anai.2018.07.006</w:t>
        </w:r>
      </w:hyperlink>
      <w:r>
        <w:t xml:space="preserve">.</w:t>
      </w:r>
    </w:p>
    <w:bookmarkEnd w:id="56"/>
    <w:bookmarkStart w:id="58" w:name="ref-silverberg_adult_2013"/>
    <w:p>
      <w:pPr>
        <w:pStyle w:val="Bibliography"/>
      </w:pPr>
      <w:r>
        <w:t xml:space="preserve">Silverberg, Jonathan I., and Jon M. Hanifin. 2013.</w:t>
      </w:r>
      <w:r>
        <w:t xml:space="preserve"> </w:t>
      </w:r>
      <w:r>
        <w:t xml:space="preserve">“Adult Eczema Prevalence and Associations with Asthma and Other Health and Demographic Factors: A</w:t>
      </w:r>
      <w:r>
        <w:t xml:space="preserve"> </w:t>
      </w:r>
      <w:r>
        <w:t xml:space="preserve">US</w:t>
      </w:r>
      <w:r>
        <w:t xml:space="preserve"> </w:t>
      </w:r>
      <w:r>
        <w:t xml:space="preserve">Population-Based Study.”</w:t>
      </w:r>
      <w:r>
        <w:t xml:space="preserve"> </w:t>
      </w:r>
      <w:r>
        <w:rPr>
          <w:i/>
          <w:iCs/>
        </w:rPr>
        <w:t xml:space="preserve">J Allergy Clin Immunol</w:t>
      </w:r>
      <w:r>
        <w:t xml:space="preserve"> </w:t>
      </w:r>
      <w:r>
        <w:t xml:space="preserve">132 (5): 1132–38.</w:t>
      </w:r>
      <w:r>
        <w:t xml:space="preserve"> </w:t>
      </w:r>
      <w:hyperlink r:id="rId57">
        <w:r>
          <w:rPr>
            <w:rStyle w:val="Hyperlink"/>
          </w:rPr>
          <w:t xml:space="preserve">https://doi.org/10.1016/j.jaci.2013.08.031</w:t>
        </w:r>
      </w:hyperlink>
      <w:r>
        <w:t xml:space="preserve">.</w:t>
      </w:r>
    </w:p>
    <w:bookmarkEnd w:id="58"/>
    <w:bookmarkStart w:id="60" w:name="ref-simpson_two_2016"/>
    <w:p>
      <w:pPr>
        <w:pStyle w:val="Bibliography"/>
      </w:pPr>
      <w:r>
        <w:t xml:space="preserve">Simpson, Eric L., Thomas Bieber, Emma Guttman-Yassky, et al. 2016.</w:t>
      </w:r>
      <w:r>
        <w:t xml:space="preserve"> </w:t>
      </w:r>
      <w:r>
        <w:t xml:space="preserve">“Two</w:t>
      </w:r>
      <w:r>
        <w:t xml:space="preserve"> </w:t>
      </w:r>
      <w:r>
        <w:t xml:space="preserve">Phase</w:t>
      </w:r>
      <w:r>
        <w:t xml:space="preserve"> </w:t>
      </w:r>
      <w:r>
        <w:t xml:space="preserve">3</w:t>
      </w:r>
      <w:r>
        <w:t xml:space="preserve"> </w:t>
      </w:r>
      <w:r>
        <w:t xml:space="preserve">Trials</w:t>
      </w:r>
      <w:r>
        <w:t xml:space="preserve"> </w:t>
      </w:r>
      <w:r>
        <w:t xml:space="preserve">of</w:t>
      </w:r>
      <w:r>
        <w:t xml:space="preserve"> </w:t>
      </w:r>
      <w:r>
        <w:t xml:space="preserve">Dupilumab</w:t>
      </w:r>
      <w:r>
        <w:t xml:space="preserve"> </w:t>
      </w:r>
      <w:r>
        <w:t xml:space="preserve">Versus</w:t>
      </w:r>
      <w:r>
        <w:t xml:space="preserve"> </w:t>
      </w:r>
      <w:r>
        <w:t xml:space="preserve">Placebo</w:t>
      </w:r>
      <w:r>
        <w:t xml:space="preserve"> </w:t>
      </w:r>
      <w:r>
        <w:t xml:space="preserve">in</w:t>
      </w:r>
      <w:r>
        <w:t xml:space="preserve"> </w:t>
      </w:r>
      <w:r>
        <w:t xml:space="preserve">Atopic</w:t>
      </w:r>
      <w:r>
        <w:t xml:space="preserve"> </w:t>
      </w:r>
      <w:r>
        <w:t xml:space="preserve">Dermatitis</w:t>
      </w:r>
      <w:r>
        <w:t xml:space="preserve">.”</w:t>
      </w:r>
      <w:r>
        <w:t xml:space="preserve"> </w:t>
      </w:r>
      <w:r>
        <w:rPr>
          <w:i/>
          <w:iCs/>
        </w:rPr>
        <w:t xml:space="preserve">N Engl J Med</w:t>
      </w:r>
      <w:r>
        <w:t xml:space="preserve"> </w:t>
      </w:r>
      <w:r>
        <w:t xml:space="preserve">375 (24): 2335–48.</w:t>
      </w:r>
      <w:r>
        <w:t xml:space="preserve"> </w:t>
      </w:r>
      <w:hyperlink r:id="rId59">
        <w:r>
          <w:rPr>
            <w:rStyle w:val="Hyperlink"/>
          </w:rPr>
          <w:t xml:space="preserve">https://doi.org/10.1056/NEJMoa1610020</w:t>
        </w:r>
      </w:hyperlink>
      <w:r>
        <w:t xml:space="preserve">.</w:t>
      </w:r>
    </w:p>
    <w:bookmarkEnd w:id="60"/>
    <w:bookmarkStart w:id="62" w:name="ref-tackett_structural_2020"/>
    <w:p>
      <w:pPr>
        <w:pStyle w:val="Bibliography"/>
      </w:pPr>
      <w:r>
        <w:t xml:space="preserve">Tackett, Kelly Jo, Frances Jenkins, Dean S. Morrell, Diana B. McShane, and Craig N. Burkhart. 2020.</w:t>
      </w:r>
      <w:r>
        <w:t xml:space="preserve"> </w:t>
      </w:r>
      <w:r>
        <w:t xml:space="preserve">“Structural Racism and Its Influence on the Severity of Atopic Dermatitis in</w:t>
      </w:r>
      <w:r>
        <w:t xml:space="preserve"> </w:t>
      </w:r>
      <w:r>
        <w:t xml:space="preserve">African</w:t>
      </w:r>
      <w:r>
        <w:t xml:space="preserve"> </w:t>
      </w:r>
      <w:r>
        <w:t xml:space="preserve">American</w:t>
      </w:r>
      <w:r>
        <w:t xml:space="preserve"> </w:t>
      </w:r>
      <w:r>
        <w:t xml:space="preserve">Children.”</w:t>
      </w:r>
      <w:r>
        <w:t xml:space="preserve"> </w:t>
      </w:r>
      <w:r>
        <w:rPr>
          <w:i/>
          <w:iCs/>
        </w:rPr>
        <w:t xml:space="preserve">Pediatr Dermatol</w:t>
      </w:r>
      <w:r>
        <w:t xml:space="preserve"> </w:t>
      </w:r>
      <w:r>
        <w:t xml:space="preserve">37 (1): 142–46.</w:t>
      </w:r>
      <w:r>
        <w:t xml:space="preserve"> </w:t>
      </w:r>
      <w:hyperlink r:id="rId61">
        <w:r>
          <w:rPr>
            <w:rStyle w:val="Hyperlink"/>
          </w:rPr>
          <w:t xml:space="preserve">https://doi.org/10.1111/pde.14058</w:t>
        </w:r>
      </w:hyperlink>
      <w:r>
        <w:t xml:space="preserve">.</w:t>
      </w:r>
    </w:p>
    <w:bookmarkEnd w:id="62"/>
    <w:bookmarkStart w:id="64" w:name="ref-vanderweele_sensitivity_2017"/>
    <w:p>
      <w:pPr>
        <w:pStyle w:val="Bibliography"/>
      </w:pPr>
      <w:r>
        <w:t xml:space="preserve">VanderWeele, Tyler J., and Peng Ding. 2017.</w:t>
      </w:r>
      <w:r>
        <w:t xml:space="preserve"> </w:t>
      </w:r>
      <w:r>
        <w:t xml:space="preserve">“Sensitivity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w:t>
      </w:r>
      <w:r>
        <w:t xml:space="preserve">167 (4): 268–74.</w:t>
      </w:r>
      <w:r>
        <w:t xml:space="preserve"> </w:t>
      </w:r>
      <w:hyperlink r:id="rId63">
        <w:r>
          <w:rPr>
            <w:rStyle w:val="Hyperlink"/>
          </w:rPr>
          <w:t xml:space="preserve">https://doi.org/10.7326/M16-2607</w:t>
        </w:r>
      </w:hyperlink>
      <w:r>
        <w:t xml:space="preserve">.</w:t>
      </w:r>
    </w:p>
    <w:bookmarkEnd w:id="64"/>
    <w:bookmarkStart w:id="66" w:name="ref-white_multiple_2011"/>
    <w:p>
      <w:pPr>
        <w:pStyle w:val="Bibliography"/>
      </w:pPr>
      <w:r>
        <w:t xml:space="preserve">White, Ian R., Patrick Royston, and Angela M. Wood. 2011.</w:t>
      </w:r>
      <w:r>
        <w:t xml:space="preserve"> </w:t>
      </w:r>
      <w:r>
        <w:t xml:space="preserve">“Multiple Imputation Using Chained Equations: Issues and Guidance for Practice.”</w:t>
      </w:r>
      <w:r>
        <w:t xml:space="preserve"> </w:t>
      </w:r>
      <w:r>
        <w:rPr>
          <w:i/>
          <w:iCs/>
        </w:rPr>
        <w:t xml:space="preserve">Stat Med</w:t>
      </w:r>
      <w:r>
        <w:t xml:space="preserve"> </w:t>
      </w:r>
      <w:r>
        <w:t xml:space="preserve">30 (4): 377–99.</w:t>
      </w:r>
      <w:r>
        <w:t xml:space="preserve"> </w:t>
      </w:r>
      <w:hyperlink r:id="rId65">
        <w:r>
          <w:rPr>
            <w:rStyle w:val="Hyperlink"/>
          </w:rPr>
          <w:t xml:space="preserve">https://doi.org/10.1002/sim.4067</w:t>
        </w:r>
      </w:hyperlink>
      <w:r>
        <w:t xml:space="preserve">.</w:t>
      </w:r>
    </w:p>
    <w:bookmarkEnd w:id="66"/>
    <w:bookmarkStart w:id="68" w:name="ref-yu_systematic_2018"/>
    <w:p>
      <w:pPr>
        <w:pStyle w:val="Bibliography"/>
      </w:pPr>
      <w:r>
        <w:t xml:space="preserve">Yu, Sherry H., Aaron M. Drucker, Mark Lebwohl, and Jonathan I. Silverberg. 2018.</w:t>
      </w:r>
      <w:r>
        <w:t xml:space="preserve"> </w:t>
      </w:r>
      <w:r>
        <w:t xml:space="preserve">“A Systematic Review of the Safety and Efficacy of Systemic Corticosteroids in Atopic Dermatitis.”</w:t>
      </w:r>
      <w:r>
        <w:t xml:space="preserve"> </w:t>
      </w:r>
      <w:r>
        <w:rPr>
          <w:i/>
          <w:iCs/>
        </w:rPr>
        <w:t xml:space="preserve">J Am Acad Dermatol</w:t>
      </w:r>
      <w:r>
        <w:t xml:space="preserve"> </w:t>
      </w:r>
      <w:r>
        <w:t xml:space="preserve">78 (4): 733–740.e11.</w:t>
      </w:r>
      <w:r>
        <w:t xml:space="preserve"> </w:t>
      </w:r>
      <w:hyperlink r:id="rId67">
        <w:r>
          <w:rPr>
            <w:rStyle w:val="Hyperlink"/>
          </w:rPr>
          <w:t xml:space="preserve">https://doi.org/10.1016/j.jaad.2017.09.074</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21" Target="https://LouieNeri.github.io/HPO-677-Final-Project/index.qmd.html" TargetMode="External" /><Relationship Type="http://schemas.openxmlformats.org/officeDocument/2006/relationships/hyperlink" Id="rId65" Target="https://doi.org/10.1002/sim.4067" TargetMode="External" /><Relationship Type="http://schemas.openxmlformats.org/officeDocument/2006/relationships/hyperlink" Id="rId55" Target="https://doi.org/10.1016/j.anai.2018.07.006" TargetMode="External" /><Relationship Type="http://schemas.openxmlformats.org/officeDocument/2006/relationships/hyperlink" Id="rId43" Target="https://doi.org/10.1016/j.clindermatol.2018.05.012" TargetMode="External" /><Relationship Type="http://schemas.openxmlformats.org/officeDocument/2006/relationships/hyperlink" Id="rId49" Target="https://doi.org/10.1016/j.jaad.2014.03.023" TargetMode="External" /><Relationship Type="http://schemas.openxmlformats.org/officeDocument/2006/relationships/hyperlink" Id="rId47" Target="https://doi.org/10.1016/j.jaad.2017.04.019" TargetMode="External" /><Relationship Type="http://schemas.openxmlformats.org/officeDocument/2006/relationships/hyperlink" Id="rId67" Target="https://doi.org/10.1016/j.jaad.2017.09.074" TargetMode="External" /><Relationship Type="http://schemas.openxmlformats.org/officeDocument/2006/relationships/hyperlink" Id="rId57" Target="https://doi.org/10.1016/j.jaci.2013.08.031" TargetMode="External" /><Relationship Type="http://schemas.openxmlformats.org/officeDocument/2006/relationships/hyperlink" Id="rId45" Target="https://doi.org/10.1016/j.jid.2016.07.012" TargetMode="External" /><Relationship Type="http://schemas.openxmlformats.org/officeDocument/2006/relationships/hyperlink" Id="rId53" Target="https://doi.org/10.1046/j.1525-1497.2001.016009606.x" TargetMode="External" /><Relationship Type="http://schemas.openxmlformats.org/officeDocument/2006/relationships/hyperlink" Id="rId59" Target="https://doi.org/10.1056/NEJMoa1610020" TargetMode="External" /><Relationship Type="http://schemas.openxmlformats.org/officeDocument/2006/relationships/hyperlink" Id="rId39" Target="https://doi.org/10.1080/00273171.2011.568786" TargetMode="External" /><Relationship Type="http://schemas.openxmlformats.org/officeDocument/2006/relationships/hyperlink" Id="rId51" Target="https://doi.org/10.1111/j.1365-2230.1994.tb01167.x" TargetMode="External" /><Relationship Type="http://schemas.openxmlformats.org/officeDocument/2006/relationships/hyperlink" Id="rId61" Target="https://doi.org/10.1111/pde.14058" TargetMode="External" /><Relationship Type="http://schemas.openxmlformats.org/officeDocument/2006/relationships/hyperlink" Id="rId41" Target="https://doi.org/10.1159/000365390" TargetMode="External" /><Relationship Type="http://schemas.openxmlformats.org/officeDocument/2006/relationships/hyperlink" Id="rId37" Target="https://doi.org/10.3389/fimmu.2024.1361005" TargetMode="External" /><Relationship Type="http://schemas.openxmlformats.org/officeDocument/2006/relationships/hyperlink" Id="rId63"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21" Target="https://LouieNeri.github.io/HPO-677-Final-Project/index.qmd.html" TargetMode="External" /><Relationship Type="http://schemas.openxmlformats.org/officeDocument/2006/relationships/hyperlink" Id="rId65" Target="https://doi.org/10.1002/sim.4067" TargetMode="External" /><Relationship Type="http://schemas.openxmlformats.org/officeDocument/2006/relationships/hyperlink" Id="rId55" Target="https://doi.org/10.1016/j.anai.2018.07.006" TargetMode="External" /><Relationship Type="http://schemas.openxmlformats.org/officeDocument/2006/relationships/hyperlink" Id="rId43" Target="https://doi.org/10.1016/j.clindermatol.2018.05.012" TargetMode="External" /><Relationship Type="http://schemas.openxmlformats.org/officeDocument/2006/relationships/hyperlink" Id="rId49" Target="https://doi.org/10.1016/j.jaad.2014.03.023" TargetMode="External" /><Relationship Type="http://schemas.openxmlformats.org/officeDocument/2006/relationships/hyperlink" Id="rId47" Target="https://doi.org/10.1016/j.jaad.2017.04.019" TargetMode="External" /><Relationship Type="http://schemas.openxmlformats.org/officeDocument/2006/relationships/hyperlink" Id="rId67" Target="https://doi.org/10.1016/j.jaad.2017.09.074" TargetMode="External" /><Relationship Type="http://schemas.openxmlformats.org/officeDocument/2006/relationships/hyperlink" Id="rId57" Target="https://doi.org/10.1016/j.jaci.2013.08.031" TargetMode="External" /><Relationship Type="http://schemas.openxmlformats.org/officeDocument/2006/relationships/hyperlink" Id="rId45" Target="https://doi.org/10.1016/j.jid.2016.07.012" TargetMode="External" /><Relationship Type="http://schemas.openxmlformats.org/officeDocument/2006/relationships/hyperlink" Id="rId53" Target="https://doi.org/10.1046/j.1525-1497.2001.016009606.x" TargetMode="External" /><Relationship Type="http://schemas.openxmlformats.org/officeDocument/2006/relationships/hyperlink" Id="rId59" Target="https://doi.org/10.1056/NEJMoa1610020" TargetMode="External" /><Relationship Type="http://schemas.openxmlformats.org/officeDocument/2006/relationships/hyperlink" Id="rId39" Target="https://doi.org/10.1080/00273171.2011.568786" TargetMode="External" /><Relationship Type="http://schemas.openxmlformats.org/officeDocument/2006/relationships/hyperlink" Id="rId51" Target="https://doi.org/10.1111/j.1365-2230.1994.tb01167.x" TargetMode="External" /><Relationship Type="http://schemas.openxmlformats.org/officeDocument/2006/relationships/hyperlink" Id="rId61" Target="https://doi.org/10.1111/pde.14058" TargetMode="External" /><Relationship Type="http://schemas.openxmlformats.org/officeDocument/2006/relationships/hyperlink" Id="rId41" Target="https://doi.org/10.1159/000365390" TargetMode="External" /><Relationship Type="http://schemas.openxmlformats.org/officeDocument/2006/relationships/hyperlink" Id="rId37" Target="https://doi.org/10.3389/fimmu.2024.1361005" TargetMode="External" /><Relationship Type="http://schemas.openxmlformats.org/officeDocument/2006/relationships/hyperlink" Id="rId63"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Patient-Reported Outcomes Between Dupilumab and Conventional Therapy in Adults with Moderate-to-Severe Atopic Dermatitis</dc:title>
  <dc:creator>Louie Neri</dc:creator>
  <cp:keywords>Atopic dermatitis, Dupilumab, Patient-reported outcomes, Comparative effectiveness, Grant proposal</cp:keywords>
  <dcterms:created xsi:type="dcterms:W3CDTF">2026-04-17T00:57:12Z</dcterms:created>
  <dcterms:modified xsi:type="dcterms:W3CDTF">2026-04-17T00:57:12Z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grant proposal compares patient-reported outcomes between dupilumab and conventional therapy in adults with moderate-to-severe atopic dermatitis using observational electronic health record data.</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itation">
    <vt:lpwstr/>
  </property>
  <property fmtid="{D5CDD505-2E9C-101B-9397-08002B2CF9AE}" pid="8" name="clear-hidden-classes">
    <vt:lpwstr>none</vt:lpwstr>
  </property>
  <property fmtid="{D5CDD505-2E9C-101B-9397-08002B2CF9AE}" pid="9" name="date">
    <vt:lpwstr>2026-04-17</vt:lpwstr>
  </property>
  <property fmtid="{D5CDD505-2E9C-101B-9397-08002B2CF9AE}" pid="10" name="engines">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ey-points">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plain-language-summary">
    <vt:lpwstr>This project examines whether adults with moderate-to-severe atopic dermatitis report better quality of life and fewer depressive symptoms after starting dupilumab than after starting conventional therapy.</vt:lpwstr>
  </property>
  <property fmtid="{D5CDD505-2E9C-101B-9397-08002B2CF9AE}" pid="21" name="quarto-internal">
    <vt:lpwstr/>
  </property>
  <property fmtid="{D5CDD505-2E9C-101B-9397-08002B2CF9AE}" pid="22" name="remove-hidden">
    <vt:lpwstr>all</vt:lpwstr>
  </property>
  <property fmtid="{D5CDD505-2E9C-101B-9397-08002B2CF9AE}" pid="23" name="subtitle">
    <vt:lpwstr>HPO 677 Final Project - NIH Grant Proposal (PAR-24-280)</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