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and Figures</w:t>
      </w:r>
    </w:p>
    <w:bookmarkStart w:id="9" w:name="table-1.-baseline-characteristics-by-sex"/>
    <w:p>
      <w:pPr>
        <w:pStyle w:val="Heading1"/>
      </w:pPr>
      <w:r>
        <w:rPr>
          <w:b/>
          <w:bCs/>
        </w:rPr>
        <w:t xml:space="preserve">Table 1.</w:t>
      </w:r>
      <w:r>
        <w:t xml:space="preserve"> </w:t>
      </w:r>
      <w:r>
        <w:t xml:space="preserve">Baseline characteristics by sex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Sex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Female (n = 2,288)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Male (n = 1,836)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 (n = 4,124)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 (17.1)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 and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1,435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1,160 (62.6%)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2,595 (62.1%)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9th grade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9-11th grade (Includes 12th grade with no diploma)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graduate/GED or equivalent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803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 or AA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752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(29.0%)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1,261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graduate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(35.9%)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1,624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578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 (33.5%)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1,032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1,770 (42.0%)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Energy intake, kcal/day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1,776.8 (573.5)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2,337.7 (840.5)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2,055.3 (771.3)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Choline intake, mg/day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285.6 (132.5)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384.5 (184.0)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 (167.6)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Below choline 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 (85.5%)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1,539 (83.2%)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3,487 (84.4%)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 (survey-weighted %) or survey-weighted mean (SD).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t-test adapted to complex survey samples; chi-squared test with Rao &amp; Scott's second-order correction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index.</w:t>
            </w:r>
          </w:p>
        </w:tc>
      </w:tr>
    </w:tbl>
    <w:p>
      <w:r>
        <w:br w:type="page"/>
      </w:r>
    </w:p>
    <w:bookmarkEnd w:id="9"/>
    <w:bookmarkStart w:id="10" w:name="Xad41cd767627ba0ede46e82198c3e431b6c6b2b"/>
    <w:p>
      <w:pPr>
        <w:pStyle w:val="Heading1"/>
      </w:pPr>
      <w:r>
        <w:rPr>
          <w:b/>
          <w:bCs/>
        </w:rPr>
        <w:t xml:space="preserve">Table 2.</w:t>
      </w:r>
      <w:r>
        <w:t xml:space="preserve"> </w:t>
      </w:r>
      <w:r>
        <w:t xml:space="preserve">Percentage below the choline AI by sex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Female (n = 2,288)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Male (n = 1,836)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(n = 4,124)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478/578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81.4 (78.4, 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359/430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 (81.0, 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837/1,008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83.5 (80.2, 86.7)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573/678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86.1 (81.9, 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558/668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84.0 (81.2, 86.8)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1,131/1,346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 (82.4, 87.5)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897/1,032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87.5 (83.3, 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622/738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81.1 (78.3, 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1,519/1,770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(81.1, 87.8)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1,948/2,288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85.5 (83.3, 87.7)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1,539/1,836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(81.4, 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3,487/4,124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(82.7,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Rao-Scott chi-square test across BMI categories.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index; CI, confidence interval.</w:t>
            </w:r>
          </w:p>
        </w:tc>
      </w:tr>
    </w:tbl>
    <w:p>
      <w:r>
        <w:br w:type="page"/>
      </w:r>
    </w:p>
    <w:bookmarkEnd w:id="10"/>
    <w:bookmarkStart w:id="11" w:name="X6fefab3000ad671ee03712a30350951819a3de8"/>
    <w:p>
      <w:pPr>
        <w:pStyle w:val="Heading1"/>
      </w:pPr>
      <w:r>
        <w:rPr>
          <w:b/>
          <w:bCs/>
        </w:rPr>
        <w:t xml:space="preserve">Table 3.</w:t>
      </w:r>
      <w:r>
        <w:t xml:space="preserve"> </w:t>
      </w:r>
      <w:r>
        <w:t xml:space="preserve">Percentage below the choline AI by menopausal status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Postmenopausal (n = 930)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Premenopausal (n = 649)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201/242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(79.6, 86.9)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163/208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78.4 (73.7, 83.1)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251/295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89.0 (84.8, 93.2)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151/185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82.5 (75.1, 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330/393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82.2 (74.4, 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223/256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 (85.4, 95.4)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782/930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84.8 (81.3, 88.3)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537/649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84.3 (81.0, 87.7)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BMI × menopausal status interaction from survey-weighted logistic regression. Women with a hysterectomy or unknown status were excluded.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(425 mg/day for women); BMI, body mass index; CI, confidence interval.</w:t>
            </w:r>
          </w:p>
        </w:tc>
      </w:tr>
    </w:tbl>
    <w:p>
      <w:r>
        <w:br w:type="page"/>
      </w:r>
    </w:p>
    <w:bookmarkEnd w:id="11"/>
    <w:bookmarkStart w:id="12" w:name="X42f13c0e5bd9924dbed3642fbaa176300f6d8e3"/>
    <w:p>
      <w:pPr>
        <w:pStyle w:val="Heading1"/>
      </w:pPr>
      <w:r>
        <w:rPr>
          <w:b/>
          <w:bCs/>
        </w:rPr>
        <w:t xml:space="preserve">Table 4.</w:t>
      </w:r>
      <w:r>
        <w:t xml:space="preserve"> </w:t>
      </w:r>
      <w:r>
        <w:t xml:space="preserve">Liver enzymes by BMI category and choline quartile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Choline quartile (mg/1,000 kcal)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Q1 (&lt;121.4)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Q2 (121.4–156.3)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Q3 (156.3–202.2)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Q4 (&gt;202.2)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 (14.7,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 (15.4, 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 (15.3,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 (15.3, 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(16.9, 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 (16.7, 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 (17.2, 20.1)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 (18.1, 20.0)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(17.7, 20.0)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 (21.0,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 (21.3, 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 (19.0, 22.6)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 (19.0,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(19.2,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 (19.7,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 (18.7,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 (19.2, 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(19.1, 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 (19.2, 21.1)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(18.6, 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 (20.0, 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(20.3, 21.6)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GGT,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 (13.7,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 (15.2,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(15.7, 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(15.1, 20.2)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(16.9, 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 (17.0, 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(19.0, 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(18.8, 23.3)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 (21.3, 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 (24.1, 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(22.6, 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(22.7, 26.9)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Participants,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Survey-weighted geometric mean (95% CI).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2"/>
    <w:bookmarkStart w:id="13" w:name="X8d80ade8623b01d6c5d875e6c357efa962082e7"/>
    <w:p>
      <w:pPr>
        <w:pStyle w:val="Heading1"/>
      </w:pPr>
      <w:r>
        <w:rPr>
          <w:b/>
          <w:bCs/>
        </w:rPr>
        <w:t xml:space="preserve">Table 5.</w:t>
      </w:r>
      <w:r>
        <w:t xml:space="preserve"> </w:t>
      </w:r>
      <w:r>
        <w:t xml:space="preserve">Low choline and obesity vs. all others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choline and obesity (vs. all others)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CI, confidence interval; GGT, gamma-glutamyl transferase.</w:t>
            </w:r>
          </w:p>
        </w:tc>
      </w:tr>
    </w:tbl>
    <w:p>
      <w:r>
        <w:br w:type="page"/>
      </w:r>
    </w:p>
    <w:bookmarkEnd w:id="13"/>
    <w:bookmarkStart w:id="14" w:name="X555e921a337b4e50998f394d8da69aa78932a34"/>
    <w:p>
      <w:pPr>
        <w:pStyle w:val="Heading1"/>
      </w:pPr>
      <w:r>
        <w:rPr>
          <w:b/>
          <w:bCs/>
        </w:rPr>
        <w:t xml:space="preserve">Table 6.</w:t>
      </w:r>
      <w:r>
        <w:t xml:space="preserve"> </w:t>
      </w:r>
      <w:r>
        <w:t xml:space="preserve">Liver enzymes across BMI and choline groups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and choline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Joint test across the six groups: ALT P = 0.002; AST P = 0.14; GGT P = 0.002.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4"/>
    <w:bookmarkStart w:id="15" w:name="Xdd9b33f4215d0b5a83d36af281989042b4d0f57"/>
    <w:p>
      <w:pPr>
        <w:pStyle w:val="Heading1"/>
      </w:pPr>
      <w:r>
        <w:rPr>
          <w:b/>
          <w:bCs/>
        </w:rPr>
        <w:t xml:space="preserve">Table 7.</w:t>
      </w:r>
      <w:r>
        <w:t xml:space="preserve"> </w:t>
      </w:r>
      <w:r>
        <w:t xml:space="preserve">Low vs. higher choline within each BMI category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Low vs. higher choline within each BMI category, estimated as contrasts from the six-group model in Table 6,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Single overall test of whether the choline association differs across BMI categories (choline × BMI interaction); no ratio is estimated.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5"/>
    <w:bookmarkStart w:id="20" w:name="figure-1.-participant-flowchart"/>
    <w:p>
      <w:pPr>
        <w:pStyle w:val="Heading1"/>
      </w:pPr>
      <w:r>
        <w:rPr>
          <w:b/>
          <w:bCs/>
        </w:rPr>
        <w:t xml:space="preserve">Figure 1. Participant flowchart</w:t>
      </w:r>
    </w:p>
    <w:p>
      <w:pPr>
        <w:pStyle w:val="SourceCode"/>
      </w:pP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"output/table_exclusion_funnel.rds"</w:t>
      </w:r>
      <w:r>
        <w:rPr>
          <w:rStyle w:val="NormalTok"/>
        </w:rPr>
        <w:t xml:space="preserve">))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Eligibility criterion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Remaining,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Excluded,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Adults aged 20 years and older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 reliable dietary recalls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Valid 2-day dietary sample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Measured 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Plausible energy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pregnant or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underweight (Aim 1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 measured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hepatitis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heavy alcohol consumption (Aim 2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covariate data (adjusted models)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NHANES August 2021 to August 2023.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flowchart"/>
          <w:p>
            <w:pPr>
              <w:jc w:val="center"/>
            </w:pPr>
            <w:r>
              <w:drawing>
                <wp:inline>
                  <wp:extent cx="5334000" cy="5628592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Tables-Figures_files/figure-docx/mermaid-figure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28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Participant flow, NHANES August 2021 to August 2023.</w:t>
            </w:r>
          </w:p>
          <w:bookmarkEnd w:id="19"/>
        </w:tc>
      </w:tr>
    </w:tbl>
    <w:p>
      <w:r>
        <w:br w:type="page"/>
      </w:r>
    </w:p>
    <w:bookmarkEnd w:id="20"/>
    <w:bookmarkStart w:id="24" w:name="figure-2"/>
    <w:p>
      <w:pPr>
        <w:pStyle w:val="Heading1"/>
      </w:pPr>
      <w:r>
        <w:rPr>
          <w:b/>
          <w:bCs/>
        </w:rPr>
        <w:t xml:space="preserve">Figure 2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2_sex_bm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4"/>
    <w:bookmarkStart w:id="28" w:name="figure-3"/>
    <w:p>
      <w:pPr>
        <w:pStyle w:val="Heading1"/>
      </w:pPr>
      <w:r>
        <w:rPr>
          <w:b/>
          <w:bCs/>
        </w:rPr>
        <w:t xml:space="preserve">Figure 3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3_menopau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8"/>
    <w:bookmarkStart w:id="32" w:name="figure-4"/>
    <w:p>
      <w:pPr>
        <w:pStyle w:val="Heading1"/>
      </w:pPr>
      <w:r>
        <w:rPr>
          <w:b/>
          <w:bCs/>
        </w:rPr>
        <w:t xml:space="preserve">Figure 4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4_group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and Figures</dc:title>
  <dc:creator/>
  <cp:keywords/>
  <dcterms:created xsi:type="dcterms:W3CDTF">2026-10-24T13:56:57Z</dcterms:created>
  <dcterms:modified xsi:type="dcterms:W3CDTF">2026-10-24T13:56:57Z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